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0417" w14:textId="625126B6" w:rsidR="0064227D" w:rsidRDefault="00000000">
      <w:pPr>
        <w:widowControl/>
        <w:autoSpaceDE/>
        <w:autoSpaceDN/>
        <w:spacing w:before="360" w:line="360" w:lineRule="auto"/>
        <w:jc w:val="center"/>
        <w:rPr>
          <w:rFonts w:ascii="Calibri" w:eastAsia="Calibri" w:hAnsi="Calibri" w:cs="Calibri"/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5908DD" wp14:editId="580C5066">
            <wp:simplePos x="0" y="0"/>
            <wp:positionH relativeFrom="margin">
              <wp:posOffset>478957</wp:posOffset>
            </wp:positionH>
            <wp:positionV relativeFrom="paragraph">
              <wp:posOffset>-4375</wp:posOffset>
            </wp:positionV>
            <wp:extent cx="863600" cy="807085"/>
            <wp:effectExtent l="0" t="0" r="0" b="0"/>
            <wp:wrapNone/>
            <wp:docPr id="3" name="Imagínat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44"/>
        </w:rPr>
        <w:t xml:space="preserve">Ficha de </w:t>
      </w:r>
      <w:r w:rsidR="005D0AB0">
        <w:rPr>
          <w:rFonts w:ascii="Calibri" w:eastAsia="Calibri" w:hAnsi="Calibri" w:cs="Calibri"/>
          <w:b/>
          <w:sz w:val="44"/>
        </w:rPr>
        <w:t>formación</w:t>
      </w:r>
    </w:p>
    <w:p w14:paraId="3317E358" w14:textId="77777777" w:rsidR="0064227D" w:rsidRDefault="0064227D">
      <w:pPr>
        <w:widowControl/>
        <w:autoSpaceDE/>
        <w:autoSpaceDN/>
        <w:spacing w:line="360" w:lineRule="auto"/>
        <w:jc w:val="center"/>
        <w:rPr>
          <w:rFonts w:ascii="Calibri" w:eastAsia="Calibri" w:hAnsi="Calibri" w:cs="Calibri"/>
          <w:b/>
          <w:sz w:val="44"/>
        </w:rPr>
      </w:pPr>
    </w:p>
    <w:tbl>
      <w:tblPr>
        <w:tblStyle w:val="Tablaconcuadrcula1"/>
        <w:tblW w:w="9690" w:type="dxa"/>
        <w:tblInd w:w="57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shd w:val="clear" w:color="auto" w:fill="F5911B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1787"/>
        <w:gridCol w:w="5244"/>
      </w:tblGrid>
      <w:tr w:rsidR="0064227D" w14:paraId="2E192ECB" w14:textId="77777777">
        <w:tc>
          <w:tcPr>
            <w:tcW w:w="2659" w:type="dxa"/>
            <w:shd w:val="clear" w:color="auto" w:fill="7F7F7F" w:themeFill="text1" w:themeFillTint="80"/>
          </w:tcPr>
          <w:p w14:paraId="77BF3025" w14:textId="1EFBA8D8" w:rsidR="0064227D" w:rsidRDefault="00000000">
            <w:pPr>
              <w:pStyle w:val="P68B1DB1-Normale1"/>
              <w:tabs>
                <w:tab w:val="left" w:pos="1157"/>
                <w:tab w:val="center" w:pos="1250"/>
              </w:tabs>
              <w:spacing w:after="200" w:line="276" w:lineRule="auto"/>
              <w:rPr>
                <w:rFonts w:eastAsia="Calibri"/>
              </w:rPr>
            </w:pPr>
            <w:r>
              <w:t>Título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7CA70289" w14:textId="297F5DB0" w:rsidR="0064227D" w:rsidRDefault="00000000">
            <w:pPr>
              <w:pStyle w:val="P68B1DB1-Normale2"/>
              <w:spacing w:after="200" w:line="276" w:lineRule="auto"/>
            </w:pPr>
            <w:r>
              <w:t>Presupuestación y movilización de recursos para la transformación digital</w:t>
            </w:r>
          </w:p>
        </w:tc>
      </w:tr>
      <w:tr w:rsidR="0064227D" w14:paraId="69CDDB23" w14:textId="77777777">
        <w:tc>
          <w:tcPr>
            <w:tcW w:w="2659" w:type="dxa"/>
            <w:shd w:val="clear" w:color="auto" w:fill="auto"/>
          </w:tcPr>
          <w:p w14:paraId="6AD71B36" w14:textId="5BC724E6" w:rsidR="0064227D" w:rsidRDefault="00000000">
            <w:pPr>
              <w:pStyle w:val="P68B1DB1-Normale3"/>
              <w:tabs>
                <w:tab w:val="left" w:pos="1157"/>
                <w:tab w:val="center" w:pos="1250"/>
              </w:tabs>
              <w:spacing w:after="200" w:line="276" w:lineRule="auto"/>
            </w:pPr>
            <w:r>
              <w:t xml:space="preserve">Ref. DigCompEdu 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593BE505" w14:textId="7E278804" w:rsidR="0064227D" w:rsidRDefault="00000000">
            <w:pPr>
              <w:pStyle w:val="P68B1DB1-Normale2"/>
              <w:spacing w:after="200" w:line="276" w:lineRule="auto"/>
            </w:pPr>
            <w:r>
              <w:t>Transversal</w:t>
            </w:r>
          </w:p>
        </w:tc>
      </w:tr>
      <w:tr w:rsidR="0064227D" w14:paraId="26674373" w14:textId="77777777">
        <w:tc>
          <w:tcPr>
            <w:tcW w:w="2659" w:type="dxa"/>
            <w:shd w:val="clear" w:color="auto" w:fill="7F7F7F" w:themeFill="text1" w:themeFillTint="80"/>
          </w:tcPr>
          <w:p w14:paraId="1724E050" w14:textId="56CCB62B" w:rsidR="0064227D" w:rsidRDefault="00000000">
            <w:pPr>
              <w:pStyle w:val="P68B1DB1-Normale1"/>
              <w:tabs>
                <w:tab w:val="left" w:pos="1157"/>
                <w:tab w:val="center" w:pos="1250"/>
              </w:tabs>
              <w:spacing w:after="200" w:line="276" w:lineRule="auto"/>
              <w:rPr>
                <w:rFonts w:eastAsia="Calibri"/>
              </w:rPr>
            </w:pPr>
            <w:r>
              <w:t>Palabras clave (meta tag)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7CBE2A3C" w14:textId="3D098B04" w:rsidR="0064227D" w:rsidRDefault="00000000">
            <w:pPr>
              <w:pStyle w:val="P68B1DB1-Normale2"/>
              <w:spacing w:after="200" w:line="276" w:lineRule="auto"/>
            </w:pPr>
            <w:r>
              <w:t>Presupuestación, Finanzas, Administración, Recursos</w:t>
            </w:r>
          </w:p>
        </w:tc>
      </w:tr>
      <w:tr w:rsidR="0064227D" w14:paraId="062E4ED2" w14:textId="77777777">
        <w:tc>
          <w:tcPr>
            <w:tcW w:w="2659" w:type="dxa"/>
            <w:shd w:val="clear" w:color="auto" w:fill="auto"/>
          </w:tcPr>
          <w:p w14:paraId="62934BCC" w14:textId="688306CF" w:rsidR="0064227D" w:rsidRDefault="00000000">
            <w:pPr>
              <w:pStyle w:val="P68B1DB1-Normale3"/>
              <w:tabs>
                <w:tab w:val="left" w:pos="1157"/>
                <w:tab w:val="center" w:pos="1250"/>
              </w:tabs>
              <w:spacing w:after="200" w:line="276" w:lineRule="auto"/>
              <w:rPr>
                <w:color w:val="FFFFFF"/>
              </w:rPr>
            </w:pPr>
            <w:r>
              <w:t>Idioma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7CFB3B7" w14:textId="541C7421" w:rsidR="0064227D" w:rsidRDefault="005D0AB0">
            <w:pPr>
              <w:pStyle w:val="P68B1DB1-Normale2"/>
              <w:spacing w:after="200" w:line="276" w:lineRule="auto"/>
            </w:pPr>
            <w:r>
              <w:t>Español</w:t>
            </w:r>
          </w:p>
        </w:tc>
      </w:tr>
      <w:tr w:rsidR="0064227D" w14:paraId="76091241" w14:textId="77777777">
        <w:tc>
          <w:tcPr>
            <w:tcW w:w="2659" w:type="dxa"/>
            <w:shd w:val="clear" w:color="auto" w:fill="7F7F7F" w:themeFill="text1" w:themeFillTint="80"/>
          </w:tcPr>
          <w:p w14:paraId="399291E0" w14:textId="63340358" w:rsidR="0064227D" w:rsidRDefault="00000000">
            <w:pPr>
              <w:pStyle w:val="P68B1DB1-Normale1"/>
              <w:spacing w:after="200" w:line="276" w:lineRule="auto"/>
              <w:rPr>
                <w:rFonts w:eastAsia="Calibri"/>
              </w:rPr>
            </w:pPr>
            <w:r>
              <w:t>Objetivo</w:t>
            </w:r>
            <w:r w:rsidR="005D0AB0">
              <w:t>s</w:t>
            </w:r>
            <w:r>
              <w:t>/Resultados de aprendizaje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523BBB6B" w14:textId="09D90834" w:rsidR="0064227D" w:rsidRDefault="00000000">
            <w:pPr>
              <w:pStyle w:val="P68B1DB1-Normale4"/>
              <w:spacing w:after="200" w:line="276" w:lineRule="auto"/>
            </w:pPr>
            <w:r>
              <w:t>Cono</w:t>
            </w:r>
            <w:r w:rsidR="00BD3406">
              <w:t>cer</w:t>
            </w:r>
            <w:r>
              <w:t xml:space="preserve"> los conceptos básicos para configurar un</w:t>
            </w:r>
            <w:r w:rsidR="00BD3406">
              <w:t xml:space="preserve"> portfolio </w:t>
            </w:r>
            <w:r>
              <w:t xml:space="preserve">de inversión en TI </w:t>
            </w:r>
          </w:p>
          <w:p w14:paraId="45B119AB" w14:textId="590820CF" w:rsidR="0064227D" w:rsidRDefault="00000000">
            <w:pPr>
              <w:pStyle w:val="P68B1DB1-Normale4"/>
              <w:spacing w:after="200" w:line="276" w:lineRule="auto"/>
            </w:pPr>
            <w:r>
              <w:t>Evit</w:t>
            </w:r>
            <w:r w:rsidR="00BD3406">
              <w:t>ar</w:t>
            </w:r>
            <w:r>
              <w:t xml:space="preserve"> errores comunes al configurar </w:t>
            </w:r>
            <w:r w:rsidR="00BD3406">
              <w:t xml:space="preserve">un portfolio </w:t>
            </w:r>
            <w:r>
              <w:t xml:space="preserve">de TI </w:t>
            </w:r>
          </w:p>
          <w:p w14:paraId="6720D7FA" w14:textId="77777777" w:rsidR="0064227D" w:rsidRDefault="00000000">
            <w:pPr>
              <w:pStyle w:val="P68B1DB1-Normale4"/>
              <w:spacing w:after="200" w:line="276" w:lineRule="auto"/>
            </w:pPr>
            <w:r>
              <w:t xml:space="preserve">Conocer las buenas prácticas para la creación de una cartera de inversiones en TI </w:t>
            </w:r>
          </w:p>
          <w:p w14:paraId="46F31212" w14:textId="0E850365" w:rsidR="0064227D" w:rsidRDefault="00000000">
            <w:pPr>
              <w:pStyle w:val="P68B1DB1-Normale4"/>
              <w:spacing w:after="200" w:line="276" w:lineRule="auto"/>
            </w:pPr>
            <w:r>
              <w:t>Conocer metodologías para la presupuestación</w:t>
            </w:r>
          </w:p>
        </w:tc>
      </w:tr>
      <w:tr w:rsidR="0064227D" w14:paraId="03791637" w14:textId="77777777">
        <w:trPr>
          <w:trHeight w:val="1376"/>
        </w:trPr>
        <w:tc>
          <w:tcPr>
            <w:tcW w:w="2659" w:type="dxa"/>
            <w:shd w:val="clear" w:color="auto" w:fill="auto"/>
          </w:tcPr>
          <w:p w14:paraId="656293CD" w14:textId="77777777" w:rsidR="0064227D" w:rsidRDefault="00000000">
            <w:pPr>
              <w:pStyle w:val="P68B1DB1-Normale3"/>
              <w:spacing w:after="200" w:line="276" w:lineRule="auto"/>
              <w:rPr>
                <w:color w:val="FFFFFF"/>
              </w:rPr>
            </w:pPr>
            <w:r>
              <w:t>Descripción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95E8860" w14:textId="77777777" w:rsidR="0064227D" w:rsidRDefault="00000000">
            <w:pPr>
              <w:pStyle w:val="P68B1DB1-Normale5"/>
              <w:contextualSpacing/>
              <w:textAlignment w:val="baseline"/>
            </w:pPr>
            <w:r>
              <w:t>Hasta sus elementos esenciales, la digitalización consiste en ser más estratégica y eficiente en la prestación de servicios y establecer una conexión directa con la cohorte de referencia abordada por la organización, y sus ETS y grupos de interés más relevantes.</w:t>
            </w:r>
          </w:p>
          <w:p w14:paraId="4AA2A278" w14:textId="77777777" w:rsidR="0064227D" w:rsidRDefault="0064227D">
            <w:pPr>
              <w:contextualSpacing/>
              <w:textAlignment w:val="baseline"/>
              <w:rPr>
                <w:rFonts w:ascii="Calibri Light" w:eastAsia="Times New Roman" w:hAnsi="Calibri Light" w:cs="Calibri Light"/>
                <w:color w:val="000000" w:themeColor="text1"/>
                <w:sz w:val="20"/>
              </w:rPr>
            </w:pPr>
          </w:p>
          <w:p w14:paraId="11CD13B1" w14:textId="5C3FAD09" w:rsidR="0064227D" w:rsidRDefault="00000000">
            <w:pPr>
              <w:pStyle w:val="P68B1DB1-Normale5"/>
              <w:spacing w:line="276" w:lineRule="auto"/>
              <w:contextualSpacing/>
              <w:textAlignment w:val="baseline"/>
            </w:pPr>
            <w:r>
              <w:t>Esto ayuda a la organización a ser mucho más práctico en la comprensión de lo que realmente podrían necesitar para transitar hacia nuevos paradigmas de TI de la educación y la formación y que son coherentes con el potencial de las organizaciones y el público potencialmente abordado por su oferta.</w:t>
            </w:r>
          </w:p>
        </w:tc>
      </w:tr>
      <w:tr w:rsidR="0064227D" w14:paraId="10232AE6" w14:textId="77777777">
        <w:tc>
          <w:tcPr>
            <w:tcW w:w="2659" w:type="dxa"/>
            <w:shd w:val="clear" w:color="auto" w:fill="7F7F7F" w:themeFill="text1" w:themeFillTint="80"/>
          </w:tcPr>
          <w:p w14:paraId="5755F633" w14:textId="5321F1E6" w:rsidR="0064227D" w:rsidRDefault="00000000">
            <w:pPr>
              <w:pStyle w:val="P68B1DB1-Normale1"/>
              <w:spacing w:after="200" w:line="276" w:lineRule="auto"/>
              <w:rPr>
                <w:rFonts w:eastAsia="Calibri"/>
              </w:rPr>
            </w:pPr>
            <w:r>
              <w:t>Contenidos dispuestos en 3 niveles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11DE0B23" w14:textId="77777777" w:rsidR="0064227D" w:rsidRDefault="00000000">
            <w:pPr>
              <w:pStyle w:val="P68B1DB1-Normale6"/>
            </w:pPr>
            <w:r>
              <w:t>Presupuestación y movilización de recursos para la transformación digital</w:t>
            </w:r>
          </w:p>
          <w:p w14:paraId="0E5E0187" w14:textId="77777777" w:rsidR="0064227D" w:rsidRDefault="0064227D">
            <w:pPr>
              <w:rPr>
                <w:rFonts w:ascii="Calibri Light" w:eastAsia="Calibri" w:hAnsi="Calibri Light" w:cs="Calibri Light"/>
                <w:color w:val="000000" w:themeColor="text1"/>
                <w:sz w:val="20"/>
              </w:rPr>
            </w:pPr>
          </w:p>
          <w:p w14:paraId="476D5A48" w14:textId="77777777" w:rsidR="0064227D" w:rsidRDefault="00000000">
            <w:pPr>
              <w:pStyle w:val="P68B1DB1-Normale7"/>
              <w:ind w:left="360"/>
              <w:textAlignment w:val="baseline"/>
            </w:pPr>
            <w:r>
              <w:t>Unidad 1: Notas de introducción a las inversiones en TI para las organizaciones de educación y formación</w:t>
            </w:r>
          </w:p>
          <w:p w14:paraId="492D4583" w14:textId="77777777" w:rsidR="0064227D" w:rsidRDefault="00000000">
            <w:pPr>
              <w:pStyle w:val="P68B1DB1-Normale8"/>
              <w:ind w:left="708"/>
              <w:textAlignment w:val="baseline"/>
            </w:pPr>
            <w:r>
              <w:t>1.1 El descargo de responsabilidad</w:t>
            </w:r>
          </w:p>
          <w:p w14:paraId="68D085C2" w14:textId="77777777" w:rsidR="0064227D" w:rsidRDefault="00000000">
            <w:pPr>
              <w:pStyle w:val="P68B1DB1-Normale8"/>
              <w:ind w:left="708"/>
              <w:textAlignment w:val="baseline"/>
            </w:pPr>
            <w:r>
              <w:t>1.2 Un enfoque bidimensional</w:t>
            </w:r>
          </w:p>
          <w:p w14:paraId="22A85525" w14:textId="77777777" w:rsidR="0064227D" w:rsidRDefault="0064227D">
            <w:pPr>
              <w:ind w:left="708"/>
              <w:textAlignment w:val="baseline"/>
              <w:rPr>
                <w:rFonts w:ascii="Calibri Light" w:hAnsi="Calibri Light" w:cs="Calibri Light"/>
                <w:sz w:val="20"/>
              </w:rPr>
            </w:pPr>
          </w:p>
          <w:p w14:paraId="2ED734F9" w14:textId="77777777" w:rsidR="0064227D" w:rsidRDefault="00000000">
            <w:pPr>
              <w:pStyle w:val="P68B1DB1-Normale7"/>
              <w:ind w:left="360"/>
              <w:textAlignment w:val="baseline"/>
            </w:pPr>
            <w:r>
              <w:t>Unidad 2: El NO de las inversiones en TI</w:t>
            </w:r>
          </w:p>
          <w:p w14:paraId="111807B5" w14:textId="77777777" w:rsidR="0064227D" w:rsidRDefault="00000000">
            <w:pPr>
              <w:pStyle w:val="P68B1DB1-Normale8"/>
              <w:ind w:left="708"/>
              <w:textAlignment w:val="baseline"/>
            </w:pPr>
            <w:r>
              <w:t>2.1 Interceptar malos hábitos</w:t>
            </w:r>
          </w:p>
          <w:p w14:paraId="61EC56A9" w14:textId="77777777" w:rsidR="0064227D" w:rsidRDefault="00000000">
            <w:pPr>
              <w:pStyle w:val="P68B1DB1-Normale8"/>
              <w:ind w:left="708"/>
              <w:textAlignment w:val="baseline"/>
            </w:pPr>
            <w:r>
              <w:t>2.2 Tres errores comunes para reconocer y evitar</w:t>
            </w:r>
          </w:p>
          <w:p w14:paraId="42C57C2B" w14:textId="03DCDE4D" w:rsidR="0064227D" w:rsidRDefault="00000000">
            <w:pPr>
              <w:pStyle w:val="P68B1DB1-Normale8"/>
              <w:ind w:left="708"/>
              <w:textAlignment w:val="baseline"/>
            </w:pPr>
            <w:r>
              <w:t xml:space="preserve">2.3 Señales de </w:t>
            </w:r>
            <w:r w:rsidR="00EC4311">
              <w:t>declive</w:t>
            </w:r>
          </w:p>
          <w:p w14:paraId="2D39513E" w14:textId="77777777" w:rsidR="0064227D" w:rsidRDefault="00000000">
            <w:pPr>
              <w:pStyle w:val="P68B1DB1-Normale8"/>
              <w:ind w:left="708"/>
              <w:textAlignment w:val="baseline"/>
            </w:pPr>
            <w:r>
              <w:t>2.4 Por qué la necesidad de una hoja de ruta</w:t>
            </w:r>
          </w:p>
          <w:p w14:paraId="0AEE8647" w14:textId="77777777" w:rsidR="0064227D" w:rsidRDefault="0064227D">
            <w:pPr>
              <w:ind w:left="708"/>
              <w:textAlignment w:val="baseline"/>
              <w:rPr>
                <w:rFonts w:ascii="Calibri Light" w:hAnsi="Calibri Light" w:cs="Calibri Light"/>
                <w:sz w:val="20"/>
              </w:rPr>
            </w:pPr>
          </w:p>
          <w:p w14:paraId="7BA20198" w14:textId="0C4F5EB1" w:rsidR="0064227D" w:rsidRDefault="00000000">
            <w:pPr>
              <w:pStyle w:val="P68B1DB1-Normale7"/>
              <w:ind w:left="360"/>
              <w:textAlignment w:val="baseline"/>
            </w:pPr>
            <w:r>
              <w:t xml:space="preserve">Unidad 3: El </w:t>
            </w:r>
            <w:r w:rsidR="00EC4311">
              <w:t>SÍ</w:t>
            </w:r>
            <w:r>
              <w:t xml:space="preserve"> de las inversiones en TI</w:t>
            </w:r>
          </w:p>
          <w:p w14:paraId="11242014" w14:textId="023D138E" w:rsidR="0064227D" w:rsidRDefault="00000000">
            <w:pPr>
              <w:pStyle w:val="P68B1DB1-Normale8"/>
              <w:ind w:left="708"/>
              <w:textAlignment w:val="baseline"/>
            </w:pPr>
            <w:r>
              <w:t xml:space="preserve">3.1 Comenzando desde un </w:t>
            </w:r>
            <w:r w:rsidR="00EC4311">
              <w:t>boceto</w:t>
            </w:r>
          </w:p>
          <w:p w14:paraId="31EF5C7C" w14:textId="77777777" w:rsidR="0064227D" w:rsidRDefault="00000000">
            <w:pPr>
              <w:pStyle w:val="P68B1DB1-Normale8"/>
              <w:ind w:left="708"/>
              <w:textAlignment w:val="baseline"/>
            </w:pPr>
            <w:r>
              <w:lastRenderedPageBreak/>
              <w:t>3.2 El ciclo de gestión de carteras de TI</w:t>
            </w:r>
          </w:p>
          <w:p w14:paraId="46BBC3E2" w14:textId="77777777" w:rsidR="0064227D" w:rsidRDefault="00000000">
            <w:pPr>
              <w:pStyle w:val="P68B1DB1-Normale8"/>
              <w:ind w:left="708"/>
              <w:textAlignment w:val="baseline"/>
            </w:pPr>
            <w:r>
              <w:t>3.3 Planificación</w:t>
            </w:r>
          </w:p>
          <w:p w14:paraId="2C568FD7" w14:textId="77777777" w:rsidR="0064227D" w:rsidRDefault="00000000">
            <w:pPr>
              <w:pStyle w:val="P68B1DB1-Normale8"/>
              <w:ind w:left="708"/>
              <w:textAlignment w:val="baseline"/>
            </w:pPr>
            <w:r>
              <w:t>3.4 Planificación: cuatro alternativas viables para la presupuestación (pt.1)</w:t>
            </w:r>
          </w:p>
          <w:p w14:paraId="0FD903AD" w14:textId="285EB0C9" w:rsidR="0064227D" w:rsidRDefault="00000000">
            <w:pPr>
              <w:pStyle w:val="P68B1DB1-Normale8"/>
              <w:ind w:left="708"/>
              <w:textAlignment w:val="baseline"/>
            </w:pPr>
            <w:r>
              <w:t>3.5 Planificación</w:t>
            </w:r>
            <w:r w:rsidR="00EC4311">
              <w:t>:</w:t>
            </w:r>
            <w:r>
              <w:t xml:space="preserve"> cuatro alternativas viables para la presupuestación (pt.2)</w:t>
            </w:r>
          </w:p>
          <w:p w14:paraId="136EABCA" w14:textId="77777777" w:rsidR="0064227D" w:rsidRDefault="00000000">
            <w:pPr>
              <w:pStyle w:val="P68B1DB1-Normale8"/>
              <w:ind w:left="708"/>
              <w:textAlignment w:val="baseline"/>
            </w:pPr>
            <w:r>
              <w:t>3.6 Gestión</w:t>
            </w:r>
          </w:p>
          <w:p w14:paraId="17C110BE" w14:textId="4BC086AE" w:rsidR="0064227D" w:rsidRDefault="00000000">
            <w:pPr>
              <w:pStyle w:val="P68B1DB1-Normale8"/>
              <w:ind w:left="708"/>
              <w:textAlignment w:val="baseline"/>
            </w:pPr>
            <w:r>
              <w:t>3.7 Cambi</w:t>
            </w:r>
            <w:r w:rsidR="00EC4311">
              <w:t>o</w:t>
            </w:r>
          </w:p>
          <w:p w14:paraId="64AC10E1" w14:textId="77777777" w:rsidR="0064227D" w:rsidRDefault="00000000">
            <w:pPr>
              <w:pStyle w:val="P68B1DB1-Normale8"/>
              <w:ind w:left="708"/>
              <w:textAlignment w:val="baseline"/>
            </w:pPr>
            <w:r>
              <w:t>3.8 Readaptación</w:t>
            </w:r>
          </w:p>
          <w:p w14:paraId="381068FF" w14:textId="21BC152B" w:rsidR="0064227D" w:rsidRDefault="00000000">
            <w:pPr>
              <w:pStyle w:val="P68B1DB1-Normale8"/>
              <w:ind w:left="708"/>
              <w:textAlignment w:val="baseline"/>
            </w:pPr>
            <w:r>
              <w:t xml:space="preserve">3.9 </w:t>
            </w:r>
            <w:r w:rsidR="00EC4311">
              <w:t>Testeo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EC4311">
              <w:t>Validación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r w:rsidR="00EC4311">
              <w:t>C</w:t>
            </w:r>
            <w:r>
              <w:t>onsolidación</w:t>
            </w:r>
          </w:p>
          <w:p w14:paraId="0FDCFFB1" w14:textId="77777777" w:rsidR="0064227D" w:rsidRDefault="00000000">
            <w:pPr>
              <w:pStyle w:val="P68B1DB1-Normale8"/>
              <w:ind w:left="708"/>
              <w:textAlignment w:val="baseline"/>
            </w:pPr>
            <w:r>
              <w:t>3.10 Presupuesto maestro</w:t>
            </w:r>
          </w:p>
          <w:p w14:paraId="17D2E18A" w14:textId="2D17ED33" w:rsidR="0064227D" w:rsidRDefault="00000000">
            <w:pPr>
              <w:pStyle w:val="P68B1DB1-Normale8"/>
              <w:ind w:left="708"/>
              <w:textAlignment w:val="baseline"/>
            </w:pPr>
            <w:r>
              <w:t xml:space="preserve">3.11 La peculiaridad de la presupuestación </w:t>
            </w:r>
            <w:r w:rsidR="00EC4311">
              <w:t>TI</w:t>
            </w:r>
            <w:r>
              <w:t xml:space="preserve"> para las organizaciones de educación y formación</w:t>
            </w:r>
          </w:p>
        </w:tc>
      </w:tr>
      <w:tr w:rsidR="0064227D" w14:paraId="5876DEF6" w14:textId="77777777">
        <w:tc>
          <w:tcPr>
            <w:tcW w:w="2659" w:type="dxa"/>
            <w:shd w:val="clear" w:color="auto" w:fill="auto"/>
          </w:tcPr>
          <w:p w14:paraId="30318323" w14:textId="4796FDF2" w:rsidR="0064227D" w:rsidRDefault="00000000">
            <w:pPr>
              <w:pStyle w:val="P68B1DB1-Normale9"/>
              <w:spacing w:after="200" w:line="276" w:lineRule="auto"/>
              <w:rPr>
                <w:rFonts w:eastAsia="Times New Roman"/>
              </w:rPr>
            </w:pPr>
            <w:r>
              <w:lastRenderedPageBreak/>
              <w:t>Autoevaluación (</w:t>
            </w:r>
            <w:r w:rsidR="0008596B">
              <w:t>preguntas y respuestas</w:t>
            </w:r>
            <w:r>
              <w:t xml:space="preserve"> de elección múltiples)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9A9CE0E" w14:textId="2B2492F3" w:rsidR="0064227D" w:rsidRDefault="00000000">
            <w:pPr>
              <w:pStyle w:val="P68B1DB1-Normale6"/>
              <w:numPr>
                <w:ilvl w:val="0"/>
                <w:numId w:val="22"/>
              </w:numPr>
              <w:spacing w:after="200"/>
              <w:textAlignment w:val="baseline"/>
            </w:pPr>
            <w:r>
              <w:t xml:space="preserve">Un enfoque de </w:t>
            </w:r>
            <w:r w:rsidR="00C82F65">
              <w:t>“hacer llover”</w:t>
            </w:r>
            <w:r>
              <w:t xml:space="preserve"> para la presupuestación de TI:</w:t>
            </w:r>
          </w:p>
          <w:p w14:paraId="3252DAC2" w14:textId="77777777" w:rsidR="0064227D" w:rsidRDefault="00000000">
            <w:pPr>
              <w:pStyle w:val="P68B1DB1-Normale4"/>
              <w:numPr>
                <w:ilvl w:val="2"/>
                <w:numId w:val="22"/>
              </w:numPr>
              <w:spacing w:after="200"/>
              <w:textAlignment w:val="baseline"/>
            </w:pPr>
            <w:r>
              <w:t>Es beneficioso tanto a corto como a largo plazo</w:t>
            </w:r>
          </w:p>
          <w:p w14:paraId="2F9F1EFE" w14:textId="25F42F0C" w:rsidR="0064227D" w:rsidRDefault="00000000">
            <w:pPr>
              <w:pStyle w:val="P68B1DB1-Normale4"/>
              <w:numPr>
                <w:ilvl w:val="2"/>
                <w:numId w:val="22"/>
              </w:numPr>
              <w:spacing w:after="200"/>
              <w:textAlignment w:val="baseline"/>
            </w:pPr>
            <w:r>
              <w:t>Desglos</w:t>
            </w:r>
            <w:r w:rsidR="00E33281">
              <w:t>a</w:t>
            </w:r>
            <w:r>
              <w:t xml:space="preserve"> las categorías de costes por unidad</w:t>
            </w:r>
          </w:p>
          <w:p w14:paraId="0674B9F0" w14:textId="77777777" w:rsidR="0064227D" w:rsidRDefault="00000000">
            <w:pPr>
              <w:pStyle w:val="P68B1DB1-Normale10"/>
              <w:numPr>
                <w:ilvl w:val="2"/>
                <w:numId w:val="22"/>
              </w:numPr>
              <w:spacing w:after="200"/>
              <w:textAlignment w:val="baseline"/>
            </w:pPr>
            <w:r>
              <w:t>Debe evitarse, ya que se ha demostrado que no genera impactos.</w:t>
            </w:r>
          </w:p>
          <w:p w14:paraId="470DE07D" w14:textId="5DFB9D4D" w:rsidR="0064227D" w:rsidRDefault="00000000">
            <w:pPr>
              <w:pStyle w:val="P68B1DB1-Normale6"/>
              <w:numPr>
                <w:ilvl w:val="0"/>
                <w:numId w:val="22"/>
              </w:numPr>
              <w:spacing w:after="200"/>
              <w:textAlignment w:val="baseline"/>
            </w:pPr>
            <w:r>
              <w:t>Uno de los escenarios típicos de bandera roja es:</w:t>
            </w:r>
          </w:p>
          <w:p w14:paraId="7A69ED01" w14:textId="77777777" w:rsidR="0064227D" w:rsidRDefault="00000000">
            <w:pPr>
              <w:pStyle w:val="P68B1DB1-Normale10"/>
              <w:numPr>
                <w:ilvl w:val="2"/>
                <w:numId w:val="22"/>
              </w:numPr>
              <w:spacing w:after="200"/>
              <w:textAlignment w:val="baseline"/>
            </w:pPr>
            <w:r>
              <w:t xml:space="preserve">Alta entropía </w:t>
            </w:r>
          </w:p>
          <w:p w14:paraId="4CB63826" w14:textId="77777777" w:rsidR="0064227D" w:rsidRDefault="00000000">
            <w:pPr>
              <w:pStyle w:val="P68B1DB1-Normale4"/>
              <w:numPr>
                <w:ilvl w:val="2"/>
                <w:numId w:val="22"/>
              </w:numPr>
              <w:spacing w:after="200"/>
              <w:textAlignment w:val="baseline"/>
            </w:pPr>
            <w:r>
              <w:t>Definición demasiado estricta de funciones y responsabilidades</w:t>
            </w:r>
          </w:p>
          <w:p w14:paraId="0594DC28" w14:textId="77777777" w:rsidR="0064227D" w:rsidRDefault="00000000">
            <w:pPr>
              <w:pStyle w:val="P68B1DB1-Normale4"/>
              <w:numPr>
                <w:ilvl w:val="2"/>
                <w:numId w:val="22"/>
              </w:numPr>
              <w:spacing w:after="200"/>
              <w:textAlignment w:val="baseline"/>
            </w:pPr>
            <w:r>
              <w:t>Externalización de servicios informáticos</w:t>
            </w:r>
          </w:p>
          <w:p w14:paraId="3ACE8F8C" w14:textId="77777777" w:rsidR="0064227D" w:rsidRDefault="00000000">
            <w:pPr>
              <w:pStyle w:val="P68B1DB1-Normale6"/>
              <w:numPr>
                <w:ilvl w:val="0"/>
                <w:numId w:val="22"/>
              </w:numPr>
              <w:spacing w:after="200"/>
              <w:textAlignment w:val="baseline"/>
            </w:pPr>
            <w:r>
              <w:t>La metodología analógica para la presupuestación</w:t>
            </w:r>
          </w:p>
          <w:p w14:paraId="2165BD5C" w14:textId="3B3567B9" w:rsidR="0064227D" w:rsidRDefault="00000000">
            <w:pPr>
              <w:pStyle w:val="P68B1DB1-Normale4"/>
              <w:numPr>
                <w:ilvl w:val="2"/>
                <w:numId w:val="22"/>
              </w:numPr>
              <w:spacing w:after="200"/>
              <w:textAlignment w:val="baseline"/>
            </w:pPr>
            <w:r>
              <w:t>Implica la disponibilidad de una gran suma que luego se distribuye entre diferentes categorías de cost</w:t>
            </w:r>
            <w:r w:rsidR="00E33281">
              <w:t>e</w:t>
            </w:r>
            <w:r>
              <w:t xml:space="preserve">s. </w:t>
            </w:r>
          </w:p>
          <w:p w14:paraId="571E418C" w14:textId="77777777" w:rsidR="0064227D" w:rsidRDefault="00000000">
            <w:pPr>
              <w:pStyle w:val="P68B1DB1-Normale4"/>
              <w:numPr>
                <w:ilvl w:val="2"/>
                <w:numId w:val="22"/>
              </w:numPr>
              <w:spacing w:after="200"/>
              <w:textAlignment w:val="baseline"/>
            </w:pPr>
            <w:r>
              <w:t xml:space="preserve">Permite la mayor flexibilidad posible </w:t>
            </w:r>
          </w:p>
          <w:p w14:paraId="3EC56A81" w14:textId="19E18802" w:rsidR="0064227D" w:rsidRDefault="00E33281">
            <w:pPr>
              <w:pStyle w:val="P68B1DB1-Normale10"/>
              <w:numPr>
                <w:ilvl w:val="2"/>
                <w:numId w:val="22"/>
              </w:numPr>
              <w:spacing w:after="200"/>
              <w:textAlignment w:val="baseline"/>
            </w:pPr>
            <w:r>
              <w:t>Ninguna es correcta</w:t>
            </w:r>
          </w:p>
          <w:p w14:paraId="3693BE1E" w14:textId="1971EC2E" w:rsidR="0064227D" w:rsidRDefault="00000000">
            <w:pPr>
              <w:pStyle w:val="P68B1DB1-Normale6"/>
              <w:numPr>
                <w:ilvl w:val="0"/>
                <w:numId w:val="22"/>
              </w:numPr>
              <w:spacing w:after="200"/>
              <w:textAlignment w:val="baseline"/>
            </w:pPr>
            <w:r>
              <w:t xml:space="preserve">La consolidación del programa </w:t>
            </w:r>
            <w:r w:rsidR="00E33281">
              <w:t>pertenece</w:t>
            </w:r>
            <w:r>
              <w:t xml:space="preserve"> a:</w:t>
            </w:r>
          </w:p>
          <w:p w14:paraId="5CF143E9" w14:textId="73403885" w:rsidR="0064227D" w:rsidRDefault="00000000">
            <w:pPr>
              <w:pStyle w:val="P68B1DB1-Normale4"/>
              <w:numPr>
                <w:ilvl w:val="2"/>
                <w:numId w:val="22"/>
              </w:numPr>
              <w:spacing w:after="200"/>
              <w:textAlignment w:val="baseline"/>
            </w:pPr>
            <w:r>
              <w:t>Presupuesto operativo</w:t>
            </w:r>
          </w:p>
          <w:p w14:paraId="7070EC37" w14:textId="77777777" w:rsidR="0064227D" w:rsidRDefault="00000000">
            <w:pPr>
              <w:pStyle w:val="P68B1DB1-Normale10"/>
              <w:numPr>
                <w:ilvl w:val="2"/>
                <w:numId w:val="22"/>
              </w:numPr>
              <w:spacing w:after="200"/>
              <w:textAlignment w:val="baseline"/>
            </w:pPr>
            <w:r>
              <w:t>Presupuesto económico</w:t>
            </w:r>
          </w:p>
          <w:p w14:paraId="63E4B815" w14:textId="0D950968" w:rsidR="0064227D" w:rsidRDefault="00000000">
            <w:pPr>
              <w:pStyle w:val="P68B1DB1-Normale4"/>
              <w:numPr>
                <w:ilvl w:val="2"/>
                <w:numId w:val="22"/>
              </w:numPr>
              <w:spacing w:after="200"/>
              <w:textAlignment w:val="baseline"/>
            </w:pPr>
            <w:r>
              <w:t>Presupuesto financiero</w:t>
            </w:r>
          </w:p>
        </w:tc>
      </w:tr>
      <w:tr w:rsidR="0064227D" w14:paraId="2BDFA091" w14:textId="77777777">
        <w:trPr>
          <w:trHeight w:val="272"/>
        </w:trPr>
        <w:tc>
          <w:tcPr>
            <w:tcW w:w="2659" w:type="dxa"/>
            <w:vMerge w:val="restart"/>
            <w:shd w:val="clear" w:color="auto" w:fill="7F7F7F" w:themeFill="text1" w:themeFillTint="80"/>
          </w:tcPr>
          <w:p w14:paraId="63545B55" w14:textId="4732F250" w:rsidR="0064227D" w:rsidRDefault="00000000">
            <w:pPr>
              <w:pStyle w:val="P68B1DB1-Normale11"/>
              <w:spacing w:after="200" w:line="276" w:lineRule="auto"/>
              <w:rPr>
                <w:rFonts w:eastAsia="Times New Roman"/>
              </w:rPr>
            </w:pPr>
            <w:r>
              <w:t>Conjunto de herramientas (directrices, mejores prácticas, lista de verificación, lecciones aprendidas...)</w:t>
            </w:r>
          </w:p>
        </w:tc>
        <w:tc>
          <w:tcPr>
            <w:tcW w:w="1787" w:type="dxa"/>
            <w:shd w:val="clear" w:color="auto" w:fill="auto"/>
          </w:tcPr>
          <w:p w14:paraId="77BCFBDD" w14:textId="47B383E6" w:rsidR="0064227D" w:rsidRDefault="00000000">
            <w:pPr>
              <w:pStyle w:val="P68B1DB1-Normale12"/>
              <w:tabs>
                <w:tab w:val="left" w:pos="3516"/>
              </w:tabs>
              <w:spacing w:after="200" w:line="276" w:lineRule="auto"/>
            </w:pPr>
            <w:r>
              <w:t>Nombre</w:t>
            </w:r>
            <w:r>
              <w:tab/>
            </w:r>
          </w:p>
        </w:tc>
        <w:tc>
          <w:tcPr>
            <w:tcW w:w="5244" w:type="dxa"/>
            <w:shd w:val="clear" w:color="auto" w:fill="auto"/>
          </w:tcPr>
          <w:p w14:paraId="2C50E1DA" w14:textId="77777777" w:rsidR="0064227D" w:rsidRDefault="00000000">
            <w:pPr>
              <w:pStyle w:val="P68B1DB1-Paragrafoelenco13"/>
              <w:numPr>
                <w:ilvl w:val="0"/>
                <w:numId w:val="23"/>
              </w:numPr>
              <w:tabs>
                <w:tab w:val="left" w:pos="3516"/>
              </w:tabs>
              <w:spacing w:after="200" w:line="276" w:lineRule="auto"/>
            </w:pPr>
            <w:r>
              <w:t>Proyecto IT — Plantilla de Presupuesto Anual</w:t>
            </w:r>
          </w:p>
          <w:p w14:paraId="6A8C8538" w14:textId="4453A060" w:rsidR="0064227D" w:rsidRDefault="00000000">
            <w:pPr>
              <w:pStyle w:val="P68B1DB1-Paragrafoelenco13"/>
              <w:numPr>
                <w:ilvl w:val="0"/>
                <w:numId w:val="23"/>
              </w:numPr>
              <w:tabs>
                <w:tab w:val="left" w:pos="3516"/>
              </w:tabs>
              <w:spacing w:after="200" w:line="276" w:lineRule="auto"/>
            </w:pPr>
            <w:r>
              <w:t>Plantilla de presupuesto anual de TI — Gastos de funcionamiento y plantilla de presupuesto de TI anual — Gastos de capital</w:t>
            </w:r>
          </w:p>
        </w:tc>
      </w:tr>
      <w:tr w:rsidR="0064227D" w14:paraId="7B3757AB" w14:textId="77777777">
        <w:trPr>
          <w:trHeight w:val="272"/>
        </w:trPr>
        <w:tc>
          <w:tcPr>
            <w:tcW w:w="2659" w:type="dxa"/>
            <w:vMerge/>
            <w:shd w:val="clear" w:color="auto" w:fill="7F7F7F" w:themeFill="text1" w:themeFillTint="80"/>
          </w:tcPr>
          <w:p w14:paraId="3D1FB1BE" w14:textId="77777777" w:rsidR="0064227D" w:rsidRDefault="0064227D">
            <w:pPr>
              <w:spacing w:after="200" w:line="276" w:lineRule="auto"/>
              <w:rPr>
                <w:rFonts w:asciiTheme="minorHAnsi" w:eastAsia="Calibri" w:hAnsiTheme="minorHAnsi" w:cstheme="minorHAnsi"/>
                <w:color w:val="FFFFFF"/>
                <w:sz w:val="20"/>
              </w:rPr>
            </w:pPr>
          </w:p>
        </w:tc>
        <w:tc>
          <w:tcPr>
            <w:tcW w:w="1787" w:type="dxa"/>
            <w:shd w:val="clear" w:color="auto" w:fill="auto"/>
          </w:tcPr>
          <w:p w14:paraId="29732371" w14:textId="118B2169" w:rsidR="0064227D" w:rsidRDefault="00000000">
            <w:pPr>
              <w:pStyle w:val="P68B1DB1-Normale12"/>
              <w:tabs>
                <w:tab w:val="left" w:pos="3516"/>
              </w:tabs>
              <w:spacing w:after="200" w:line="276" w:lineRule="auto"/>
            </w:pPr>
            <w:r>
              <w:t>Descripción</w:t>
            </w:r>
          </w:p>
        </w:tc>
        <w:tc>
          <w:tcPr>
            <w:tcW w:w="5244" w:type="dxa"/>
            <w:shd w:val="clear" w:color="auto" w:fill="auto"/>
          </w:tcPr>
          <w:p w14:paraId="61EDA494" w14:textId="77777777" w:rsidR="0064227D" w:rsidRDefault="00000000">
            <w:pPr>
              <w:pStyle w:val="P68B1DB1-Paragrafoelenco13"/>
              <w:numPr>
                <w:ilvl w:val="0"/>
                <w:numId w:val="24"/>
              </w:numPr>
              <w:tabs>
                <w:tab w:val="left" w:pos="3516"/>
              </w:tabs>
              <w:spacing w:after="200" w:line="276" w:lineRule="auto"/>
            </w:pPr>
            <w:r>
              <w:t>Esta herramienta tiene como objetivo facilitar la estimación, sobre una base anual, de todas las posibles partidas de operación y costes de capital que la organización X tiene que considerar para la renovación de su flota de TI.</w:t>
            </w:r>
          </w:p>
          <w:p w14:paraId="0618A9D1" w14:textId="5A989DA5" w:rsidR="0064227D" w:rsidRDefault="00000000">
            <w:pPr>
              <w:pStyle w:val="P68B1DB1-Paragrafoelenco13"/>
              <w:numPr>
                <w:ilvl w:val="0"/>
                <w:numId w:val="24"/>
              </w:numPr>
              <w:tabs>
                <w:tab w:val="left" w:pos="3516"/>
              </w:tabs>
              <w:spacing w:after="200" w:line="276" w:lineRule="auto"/>
            </w:pPr>
            <w:r>
              <w:t>Estas herramientas son una versión un poco más simplificada de la anterior, más intuitiva y ágil para organizaciones más pequeñas, profesionales, etc.</w:t>
            </w:r>
          </w:p>
        </w:tc>
      </w:tr>
      <w:tr w:rsidR="0064227D" w:rsidRPr="00BD3406" w14:paraId="33AF4B8A" w14:textId="77777777">
        <w:trPr>
          <w:trHeight w:val="533"/>
        </w:trPr>
        <w:tc>
          <w:tcPr>
            <w:tcW w:w="2659" w:type="dxa"/>
            <w:vMerge/>
            <w:shd w:val="clear" w:color="auto" w:fill="7F7F7F" w:themeFill="text1" w:themeFillTint="80"/>
          </w:tcPr>
          <w:p w14:paraId="152B236D" w14:textId="77777777" w:rsidR="0064227D" w:rsidRDefault="0064227D">
            <w:pPr>
              <w:spacing w:after="200" w:line="276" w:lineRule="auto"/>
              <w:rPr>
                <w:rFonts w:asciiTheme="minorHAnsi" w:eastAsia="Calibri" w:hAnsiTheme="minorHAnsi" w:cstheme="minorHAnsi"/>
                <w:color w:val="FFFFFF"/>
                <w:sz w:val="20"/>
              </w:rPr>
            </w:pPr>
          </w:p>
        </w:tc>
        <w:tc>
          <w:tcPr>
            <w:tcW w:w="1787" w:type="dxa"/>
            <w:shd w:val="clear" w:color="auto" w:fill="auto"/>
          </w:tcPr>
          <w:p w14:paraId="257F9D15" w14:textId="21FA1529" w:rsidR="0064227D" w:rsidRDefault="00000000">
            <w:pPr>
              <w:pStyle w:val="P68B1DB1-Normale12"/>
              <w:tabs>
                <w:tab w:val="left" w:pos="3516"/>
              </w:tabs>
              <w:spacing w:after="200" w:line="276" w:lineRule="auto"/>
            </w:pPr>
            <w:r>
              <w:t>Nombre del archivo</w:t>
            </w:r>
          </w:p>
        </w:tc>
        <w:tc>
          <w:tcPr>
            <w:tcW w:w="5244" w:type="dxa"/>
            <w:shd w:val="clear" w:color="auto" w:fill="auto"/>
          </w:tcPr>
          <w:p w14:paraId="4D29F51E" w14:textId="6151E9F5" w:rsidR="0064227D" w:rsidRPr="003C019D" w:rsidRDefault="00000000">
            <w:pPr>
              <w:pStyle w:val="P68B1DB1-Paragrafoelenco13"/>
              <w:numPr>
                <w:ilvl w:val="0"/>
                <w:numId w:val="25"/>
              </w:numPr>
              <w:tabs>
                <w:tab w:val="left" w:pos="3516"/>
              </w:tabs>
              <w:spacing w:after="200" w:line="276" w:lineRule="auto"/>
              <w:rPr>
                <w:lang w:val="en-GB"/>
              </w:rPr>
            </w:pPr>
            <w:r w:rsidRPr="003C019D">
              <w:rPr>
                <w:lang w:val="en-GB"/>
              </w:rPr>
              <w:t>RESET_PR3_IHF_TOOL_</w:t>
            </w:r>
            <w:r w:rsidR="003C019D" w:rsidRPr="003C019D">
              <w:rPr>
                <w:lang w:val="en-GB"/>
              </w:rPr>
              <w:t>annual IT project budget template</w:t>
            </w:r>
            <w:r w:rsidRPr="003C019D">
              <w:rPr>
                <w:lang w:val="en-GB"/>
              </w:rPr>
              <w:t>_ES</w:t>
            </w:r>
          </w:p>
          <w:p w14:paraId="57C174EB" w14:textId="13FBE6F2" w:rsidR="0064227D" w:rsidRPr="00BD3406" w:rsidRDefault="00000000">
            <w:pPr>
              <w:pStyle w:val="P68B1DB1-Paragrafoelenco13"/>
              <w:numPr>
                <w:ilvl w:val="0"/>
                <w:numId w:val="25"/>
              </w:numPr>
              <w:tabs>
                <w:tab w:val="left" w:pos="3516"/>
              </w:tabs>
              <w:spacing w:after="200" w:line="276" w:lineRule="auto"/>
              <w:rPr>
                <w:lang w:val="en-GB"/>
              </w:rPr>
            </w:pPr>
            <w:r w:rsidRPr="00BD3406">
              <w:rPr>
                <w:lang w:val="en-GB"/>
              </w:rPr>
              <w:t>RESET_PR3_IHF_TOOL_</w:t>
            </w:r>
            <w:r w:rsidR="003C019D" w:rsidRPr="00BD3406">
              <w:rPr>
                <w:lang w:val="en-GB"/>
              </w:rPr>
              <w:t>annual budget template for IT</w:t>
            </w:r>
            <w:r w:rsidRPr="00BD3406">
              <w:rPr>
                <w:lang w:val="en-GB"/>
              </w:rPr>
              <w:t>_E</w:t>
            </w:r>
            <w:r w:rsidR="003C019D" w:rsidRPr="00BD3406">
              <w:rPr>
                <w:lang w:val="en-GB"/>
              </w:rPr>
              <w:t>S</w:t>
            </w:r>
          </w:p>
        </w:tc>
      </w:tr>
      <w:tr w:rsidR="0064227D" w14:paraId="7482D214" w14:textId="77777777">
        <w:tc>
          <w:tcPr>
            <w:tcW w:w="2659" w:type="dxa"/>
            <w:shd w:val="clear" w:color="auto" w:fill="auto"/>
          </w:tcPr>
          <w:p w14:paraId="66F1C3BF" w14:textId="77777777" w:rsidR="0064227D" w:rsidRDefault="00000000">
            <w:pPr>
              <w:pStyle w:val="P68B1DB1-Normale3"/>
              <w:spacing w:after="200" w:line="276" w:lineRule="auto"/>
            </w:pPr>
            <w:r>
              <w:t>Recursos (vídeos, enlace de referencia)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3EF75B0" w14:textId="120A842A" w:rsidR="0064227D" w:rsidRDefault="00000000">
            <w:pPr>
              <w:pStyle w:val="P68B1DB1-Normale4"/>
              <w:spacing w:after="200" w:line="276" w:lineRule="auto"/>
            </w:pPr>
            <w:r>
              <w:t>N/A</w:t>
            </w:r>
          </w:p>
        </w:tc>
      </w:tr>
      <w:tr w:rsidR="0064227D" w14:paraId="0663A86C" w14:textId="77777777">
        <w:tc>
          <w:tcPr>
            <w:tcW w:w="2659" w:type="dxa"/>
            <w:shd w:val="clear" w:color="auto" w:fill="7F7F7F" w:themeFill="text1" w:themeFillTint="80"/>
          </w:tcPr>
          <w:p w14:paraId="59C22DBE" w14:textId="77777777" w:rsidR="0064227D" w:rsidRDefault="00000000">
            <w:pPr>
              <w:pStyle w:val="P68B1DB1-Normale1"/>
              <w:spacing w:after="200" w:line="276" w:lineRule="auto"/>
            </w:pPr>
            <w:r>
              <w:t>Material relacionado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0961C232" w14:textId="387CF090" w:rsidR="0064227D" w:rsidRDefault="00000000">
            <w:pPr>
              <w:pStyle w:val="P68B1DB1-Normale4"/>
              <w:spacing w:after="200" w:line="276" w:lineRule="auto"/>
            </w:pPr>
            <w:r>
              <w:t>N/A</w:t>
            </w:r>
          </w:p>
        </w:tc>
      </w:tr>
      <w:tr w:rsidR="0064227D" w:rsidRPr="005D0AB0" w14:paraId="6E923D15" w14:textId="77777777">
        <w:tc>
          <w:tcPr>
            <w:tcW w:w="2659" w:type="dxa"/>
            <w:shd w:val="clear" w:color="auto" w:fill="auto"/>
          </w:tcPr>
          <w:p w14:paraId="3840E9D0" w14:textId="77777777" w:rsidR="0064227D" w:rsidRDefault="00000000">
            <w:pPr>
              <w:pStyle w:val="P68B1DB1-Normale3"/>
              <w:spacing w:after="200" w:line="276" w:lineRule="auto"/>
            </w:pPr>
            <w:r>
              <w:t>PPT relacionado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2D569B58" w14:textId="5741C763" w:rsidR="0064227D" w:rsidRPr="005D0AB0" w:rsidRDefault="00000000">
            <w:pPr>
              <w:pStyle w:val="P68B1DB1-Normale4"/>
              <w:spacing w:after="200" w:line="276" w:lineRule="auto"/>
              <w:rPr>
                <w:lang w:val="en-GB"/>
              </w:rPr>
            </w:pPr>
            <w:r w:rsidRPr="005D0AB0">
              <w:rPr>
                <w:lang w:val="en-GB"/>
              </w:rPr>
              <w:t>RESET_PR3_IHF_Budgeting_ppt_ES</w:t>
            </w:r>
          </w:p>
        </w:tc>
      </w:tr>
      <w:tr w:rsidR="0064227D" w14:paraId="76BBC4B1" w14:textId="77777777">
        <w:tc>
          <w:tcPr>
            <w:tcW w:w="2659" w:type="dxa"/>
            <w:shd w:val="clear" w:color="auto" w:fill="7F7F7F" w:themeFill="text1" w:themeFillTint="80"/>
          </w:tcPr>
          <w:p w14:paraId="7B3E3EB8" w14:textId="77777777" w:rsidR="0064227D" w:rsidRDefault="00000000">
            <w:pPr>
              <w:pStyle w:val="P68B1DB1-Normale1"/>
              <w:spacing w:after="200" w:line="276" w:lineRule="auto"/>
              <w:rPr>
                <w:rFonts w:eastAsia="Calibri"/>
              </w:rPr>
            </w:pPr>
            <w:r>
              <w:t>Bibliografía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1DF90EDC" w14:textId="376DEFA8" w:rsidR="0064227D" w:rsidRDefault="00000000">
            <w:pPr>
              <w:pStyle w:val="P68B1DB1-Normale4"/>
              <w:spacing w:after="200" w:line="276" w:lineRule="auto"/>
            </w:pPr>
            <w:r>
              <w:t>N/A</w:t>
            </w:r>
          </w:p>
        </w:tc>
      </w:tr>
      <w:tr w:rsidR="0064227D" w14:paraId="17253B42" w14:textId="77777777">
        <w:tc>
          <w:tcPr>
            <w:tcW w:w="2659" w:type="dxa"/>
            <w:shd w:val="clear" w:color="auto" w:fill="auto"/>
          </w:tcPr>
          <w:p w14:paraId="1C75B20A" w14:textId="77777777" w:rsidR="0064227D" w:rsidRDefault="00000000">
            <w:pPr>
              <w:pStyle w:val="P68B1DB1-Normale3"/>
              <w:spacing w:after="200" w:line="276" w:lineRule="auto"/>
              <w:rPr>
                <w:rFonts w:eastAsia="Calibri"/>
              </w:rPr>
            </w:pPr>
            <w:r>
              <w:t>Proporcionado por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A3BE74C" w14:textId="0F8FC365" w:rsidR="0064227D" w:rsidRDefault="00000000">
            <w:pPr>
              <w:pStyle w:val="P68B1DB1-Normale4"/>
              <w:spacing w:after="200" w:line="276" w:lineRule="auto"/>
            </w:pPr>
            <w:r>
              <w:t xml:space="preserve">IHF asbl </w:t>
            </w:r>
          </w:p>
        </w:tc>
      </w:tr>
    </w:tbl>
    <w:p w14:paraId="3494DA14" w14:textId="77777777" w:rsidR="0064227D" w:rsidRDefault="0064227D">
      <w:pPr>
        <w:pStyle w:val="Textoindependiente"/>
        <w:spacing w:line="360" w:lineRule="auto"/>
        <w:rPr>
          <w:rFonts w:ascii="Times New Roman"/>
          <w:sz w:val="20"/>
        </w:rPr>
      </w:pPr>
    </w:p>
    <w:sectPr w:rsidR="0064227D">
      <w:headerReference w:type="default" r:id="rId8"/>
      <w:footerReference w:type="default" r:id="rId9"/>
      <w:type w:val="continuous"/>
      <w:pgSz w:w="11900" w:h="16850"/>
      <w:pgMar w:top="2268" w:right="1077" w:bottom="284" w:left="1077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90A0" w14:textId="77777777" w:rsidR="00282F32" w:rsidRDefault="00282F32">
      <w:r>
        <w:separator/>
      </w:r>
    </w:p>
  </w:endnote>
  <w:endnote w:type="continuationSeparator" w:id="0">
    <w:p w14:paraId="015BC04E" w14:textId="77777777" w:rsidR="00282F32" w:rsidRDefault="0028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D6B9" w14:textId="27BAA49D" w:rsidR="0064227D" w:rsidRDefault="00000000">
    <w:pPr>
      <w:pStyle w:val="P68B1DB1-Corpotesto14"/>
    </w:pPr>
    <w:r>
      <w:rPr>
        <w:noProof/>
      </w:rPr>
      <w:drawing>
        <wp:anchor distT="0" distB="0" distL="114300" distR="114300" simplePos="0" relativeHeight="251735552" behindDoc="0" locked="0" layoutInCell="1" allowOverlap="1" wp14:anchorId="53155CFC" wp14:editId="2986F0DB">
          <wp:simplePos x="0" y="0"/>
          <wp:positionH relativeFrom="page">
            <wp:posOffset>754380</wp:posOffset>
          </wp:positionH>
          <wp:positionV relativeFrom="page">
            <wp:posOffset>9606280</wp:posOffset>
          </wp:positionV>
          <wp:extent cx="1581150" cy="95250"/>
          <wp:effectExtent l="0" t="0" r="0" b="0"/>
          <wp:wrapTopAndBottom/>
          <wp:docPr id="2" name="Gruppo 2"/>
          <wp:cNvGraphicFramePr/>
          <a:graphic xmlns:a="http://schemas.openxmlformats.org/drawingml/2006/main">
            <a:graphicData uri="http://schemas.microsoft.com/office/word/2010/wordprocessingGroup">
              <wpg:wgp>
                <wpg:cNvGrpSpPr/>
                <wpg:grpSpPr>
                  <a:xfrm>
                    <a:off x="0" y="0"/>
                    <a:ext cx="1581150" cy="95250"/>
                    <a:chOff x="0" y="0"/>
                    <a:chExt cx="1581150" cy="95250"/>
                  </a:xfrm>
                </wpg:grpSpPr>
                <pic:pic xmlns:pic="http://schemas.openxmlformats.org/drawingml/2006/picture">
                  <pic:nvPicPr>
                    <pic:cNvPr id="49" name="Image3.png"/>
                    <pic:cNvPicPr>
                      <a:picLocks noChangeAspect="1"/>
                    </pic:cNvPicPr>
                  </pic:nvPicPr>
                  <pic:blipFill>
                    <a:blip r:embed="rId1" cstate="print"/>
                    <a:stretch>
                      <a:fillRect/>
                    </a:stretch>
                  </pic:blipFill>
                  <pic:spPr>
                    <a:xfrm>
                      <a:off x="419100" y="0"/>
                      <a:ext cx="95250" cy="95250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50" name="Image4.png"/>
                    <pic:cNvPicPr>
                      <a:picLocks noChangeAspect="1"/>
                    </pic:cNvPicPr>
                  </pic:nvPicPr>
                  <pic:blipFill>
                    <a:blip r:embed="rId2" cstate="print"/>
                    <a:stretch>
                      <a:fillRect/>
                    </a:stretch>
                  </pic:blipFill>
                  <pic:spPr>
                    <a:xfrm>
                      <a:off x="640080" y="0"/>
                      <a:ext cx="95250" cy="95250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51" name="Image5.png"/>
                    <pic:cNvPicPr>
                      <a:picLocks noChangeAspect="1"/>
                    </pic:cNvPicPr>
                  </pic:nvPicPr>
                  <pic:blipFill>
                    <a:blip r:embed="rId3" cstate="print"/>
                    <a:stretch>
                      <a:fillRect/>
                    </a:stretch>
                  </pic:blipFill>
                  <pic:spPr>
                    <a:xfrm>
                      <a:off x="853440" y="0"/>
                      <a:ext cx="95250" cy="95250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52" name="Image6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1059180" y="0"/>
                      <a:ext cx="95250" cy="95250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53" name="Image9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1272540" y="0"/>
                      <a:ext cx="95250" cy="95250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54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1485900" y="0"/>
                      <a:ext cx="95250" cy="95250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47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48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213360" y="0"/>
                      <a:ext cx="95250" cy="95250"/>
                    </a:xfrm>
                    <a:prstGeom prst="rect">
                      <a:avLst/>
                    </a:prstGeom>
                  </pic:spPr>
                </pic:pic>
              </wpg:wgp>
            </a:graphicData>
          </a:graphic>
        </wp:anchor>
      </w:drawing>
    </w:r>
    <w:r>
      <w:rPr>
        <w:noProof/>
      </w:rPr>
      <w:drawing>
        <wp:anchor distT="0" distB="0" distL="0" distR="0" simplePos="0" relativeHeight="251709952" behindDoc="1" locked="0" layoutInCell="1" allowOverlap="1" wp14:anchorId="66B0C844" wp14:editId="3E49DF98">
          <wp:simplePos x="0" y="0"/>
          <wp:positionH relativeFrom="page">
            <wp:posOffset>2495550</wp:posOffset>
          </wp:positionH>
          <wp:positionV relativeFrom="paragraph">
            <wp:posOffset>49530</wp:posOffset>
          </wp:positionV>
          <wp:extent cx="4273550" cy="1270"/>
          <wp:effectExtent l="0" t="0" r="0" b="0"/>
          <wp:wrapTopAndBottom/>
          <wp:docPr id="56" name="Forma libre: forma 5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 bwMode="auto">
                  <a:xfrm>
                    <a:off x="0" y="0"/>
                    <a:ext cx="4273550" cy="1270"/>
                  </a:xfrm>
                  <a:custGeom>
                    <a:avLst/>
                    <a:gdLst>
                      <a:gd name="T0" fmla="+- 0 3930 3930"/>
                      <a:gd name="T1" fmla="*/ T0 w 6730"/>
                      <a:gd name="T2" fmla="+- 0 10660 3930"/>
                      <a:gd name="T3" fmla="*/ T2 w 6730"/>
                    </a:gdLst>
                    <a:ahLst/>
                    <a:cxnLst>
                      <a:cxn ang="0">
                        <a:pos x="T1" y="0"/>
                      </a:cxn>
                      <a:cxn ang="0">
                        <a:pos x="T3" y="0"/>
                      </a:cxn>
                    </a:cxnLst>
                    <a:rect l="0" t="0" r="r" b="b"/>
                    <a:pathLst>
                      <a:path w="6730">
                        <a:moveTo>
                          <a:pt x="0" y="0"/>
                        </a:moveTo>
                        <a:lnTo>
                          <a:pt x="6730" y="0"/>
                        </a:lnTo>
                      </a:path>
                    </a:pathLst>
                  </a:custGeom>
                  <a:noFill/>
                  <a:ln w="28551">
                    <a:solidFill>
                      <a:srgbClr val="000000"/>
                    </a:solidFill>
                    <a:prstDash val="solid"/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wps:spPr>
                <wps:bodyPr rot="0" vert="horz" wrap="square" lIns="91440" tIns="45720" rIns="91440" bIns="45720" anchor="t" anchorCtr="0" upright="1">
                  <a:noAutofit/>
                </wps:bodyPr>
              </wps:wsp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A8FA11" w14:textId="01A7631D" w:rsidR="0064227D" w:rsidRDefault="00000000">
    <w:pPr>
      <w:pStyle w:val="P68B1DB1-Corpotesto14"/>
      <w:spacing w:before="120" w:line="278" w:lineRule="auto"/>
      <w:ind w:left="2852" w:right="113"/>
      <w:jc w:val="both"/>
    </w:pPr>
    <w:r>
      <w:rPr>
        <w:noProof/>
      </w:rPr>
      <w:drawing>
        <wp:anchor distT="0" distB="0" distL="0" distR="0" simplePos="0" relativeHeight="251647488" behindDoc="0" locked="0" layoutInCell="1" allowOverlap="1" wp14:anchorId="186DFF9F" wp14:editId="5A168DB1">
          <wp:simplePos x="0" y="0"/>
          <wp:positionH relativeFrom="page">
            <wp:posOffset>756285</wp:posOffset>
          </wp:positionH>
          <wp:positionV relativeFrom="paragraph">
            <wp:posOffset>64770</wp:posOffset>
          </wp:positionV>
          <wp:extent cx="1636395" cy="342265"/>
          <wp:effectExtent l="0" t="0" r="0" b="635"/>
          <wp:wrapNone/>
          <wp:docPr id="12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0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636395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«El apoyo de la Comisión Europea a la producción de esta publicación no constituye una aprobación de los contenidos que reflejan únicamente las opiniones de los autores, y la Comisión no puede ser considerada responsable del uso que pueda hacerse de la información contenida en la misma.»</w:t>
    </w:r>
  </w:p>
  <w:p w14:paraId="0C33CB44" w14:textId="44937B5D" w:rsidR="0064227D" w:rsidRDefault="0064227D">
    <w:pPr>
      <w:pStyle w:val="Piedepgin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803C6" w14:textId="77777777" w:rsidR="00282F32" w:rsidRDefault="00282F32">
      <w:r>
        <w:separator/>
      </w:r>
    </w:p>
  </w:footnote>
  <w:footnote w:type="continuationSeparator" w:id="0">
    <w:p w14:paraId="54E6DAD5" w14:textId="77777777" w:rsidR="00282F32" w:rsidRDefault="00282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05BF" w14:textId="7E445882" w:rsidR="0064227D" w:rsidRDefault="00000000">
    <w:pPr>
      <w:pStyle w:val="P68B1DB1-Corpotesto15"/>
      <w:rPr>
        <w:rFonts w:asciiTheme="minorHAnsi" w:hAnsiTheme="minorHAnsi" w:cstheme="minorHAnsi"/>
        <w:sz w:val="18"/>
      </w:rPr>
    </w:pPr>
    <w:r>
      <w:rPr>
        <w:noProof/>
        <w:sz w:val="20"/>
      </w:rPr>
      <w:drawing>
        <wp:anchor distT="0" distB="0" distL="114300" distR="114300" simplePos="0" relativeHeight="251778560" behindDoc="1" locked="0" layoutInCell="1" allowOverlap="1" wp14:anchorId="50C9EA5E" wp14:editId="6DF8CC86">
          <wp:simplePos x="0" y="0"/>
          <wp:positionH relativeFrom="column">
            <wp:posOffset>4923301</wp:posOffset>
          </wp:positionH>
          <wp:positionV relativeFrom="paragraph">
            <wp:posOffset>1710</wp:posOffset>
          </wp:positionV>
          <wp:extent cx="1252855" cy="815340"/>
          <wp:effectExtent l="0" t="0" r="4445" b="3810"/>
          <wp:wrapNone/>
          <wp:docPr id="11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8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AB0">
      <w:rPr>
        <w:rFonts w:asciiTheme="minorHAnsi" w:hAnsiTheme="minorHAnsi" w:cstheme="minorHAnsi"/>
        <w:sz w:val="18"/>
      </w:rPr>
      <w:t>project</w:t>
    </w:r>
    <w:r>
      <w:rPr>
        <w:rFonts w:asciiTheme="minorHAnsi" w:hAnsiTheme="minorHAnsi" w:cstheme="minorHAnsi"/>
        <w:sz w:val="18"/>
      </w:rPr>
      <w:t>-reset.eu</w:t>
    </w:r>
  </w:p>
  <w:p w14:paraId="28EFBDEA" w14:textId="24A8A175" w:rsidR="0064227D" w:rsidRDefault="00000000">
    <w:pPr>
      <w:pStyle w:val="P68B1DB1-Titolo16"/>
      <w:rPr>
        <w:sz w:val="20"/>
      </w:rPr>
    </w:pPr>
    <w:r>
      <w:rPr>
        <w:noProof/>
      </w:rPr>
      <w:drawing>
        <wp:anchor distT="0" distB="0" distL="114300" distR="114300" simplePos="0" relativeHeight="251757056" behindDoc="1" locked="0" layoutInCell="1" allowOverlap="1" wp14:anchorId="062E4212" wp14:editId="046C2592">
          <wp:simplePos x="0" y="0"/>
          <wp:positionH relativeFrom="page">
            <wp:posOffset>3902222</wp:posOffset>
          </wp:positionH>
          <wp:positionV relativeFrom="page">
            <wp:posOffset>550545</wp:posOffset>
          </wp:positionV>
          <wp:extent cx="1581150" cy="95250"/>
          <wp:effectExtent l="0" t="0" r="0" b="0"/>
          <wp:wrapNone/>
          <wp:docPr id="281" name="Gruppo 281"/>
          <wp:cNvGraphicFramePr/>
          <a:graphic xmlns:a="http://schemas.openxmlformats.org/drawingml/2006/main">
            <a:graphicData uri="http://schemas.microsoft.com/office/word/2010/wordprocessingGroup">
              <wpg:wgp>
                <wpg:cNvGrpSpPr/>
                <wpg:grpSpPr>
                  <a:xfrm>
                    <a:off x="0" y="0"/>
                    <a:ext cx="1581150" cy="95250"/>
                    <a:chOff x="0" y="0"/>
                    <a:chExt cx="1581150" cy="95250"/>
                  </a:xfrm>
                </wpg:grpSpPr>
                <pic:pic xmlns:pic="http://schemas.openxmlformats.org/drawingml/2006/picture">
                  <pic:nvPicPr>
                    <pic:cNvPr id="282" name="Image3.png"/>
                    <pic:cNvPicPr>
                      <a:picLocks noChangeAspect="1"/>
                    </pic:cNvPicPr>
                  </pic:nvPicPr>
                  <pic:blipFill>
                    <a:blip r:embed="rId2" cstate="print"/>
                    <a:stretch>
                      <a:fillRect/>
                    </a:stretch>
                  </pic:blipFill>
                  <pic:spPr>
                    <a:xfrm>
                      <a:off x="419100" y="0"/>
                      <a:ext cx="95250" cy="95250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283" name="Image4.png"/>
                    <pic:cNvPicPr>
                      <a:picLocks noChangeAspect="1"/>
                    </pic:cNvPicPr>
                  </pic:nvPicPr>
                  <pic:blipFill>
                    <a:blip r:embed="rId3" cstate="print"/>
                    <a:stretch>
                      <a:fillRect/>
                    </a:stretch>
                  </pic:blipFill>
                  <pic:spPr>
                    <a:xfrm>
                      <a:off x="640080" y="0"/>
                      <a:ext cx="95250" cy="95250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284" name="Image5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853440" y="0"/>
                      <a:ext cx="95250" cy="95250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285" name="Image6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1059180" y="0"/>
                      <a:ext cx="95250" cy="95250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286" name="Image9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1272540" y="0"/>
                      <a:ext cx="95250" cy="95250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287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1485900" y="0"/>
                      <a:ext cx="95250" cy="95250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288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289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213360" y="0"/>
                      <a:ext cx="95250" cy="95250"/>
                    </a:xfrm>
                    <a:prstGeom prst="rect">
                      <a:avLst/>
                    </a:prstGeom>
                  </pic:spPr>
                </pic:pic>
              </wpg:wgp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A03"/>
    <w:multiLevelType w:val="hybridMultilevel"/>
    <w:tmpl w:val="27A40CA0"/>
    <w:lvl w:ilvl="0" w:tplc="836081D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424C1"/>
    <w:multiLevelType w:val="hybridMultilevel"/>
    <w:tmpl w:val="01C067BE"/>
    <w:lvl w:ilvl="0" w:tplc="7324B0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ED5ADB"/>
    <w:multiLevelType w:val="hybridMultilevel"/>
    <w:tmpl w:val="87C40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E129A"/>
    <w:multiLevelType w:val="hybridMultilevel"/>
    <w:tmpl w:val="85824BC2"/>
    <w:lvl w:ilvl="0" w:tplc="635ADB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A1B46"/>
    <w:multiLevelType w:val="hybridMultilevel"/>
    <w:tmpl w:val="D4D0EE9C"/>
    <w:lvl w:ilvl="0" w:tplc="2A1000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075B1"/>
    <w:multiLevelType w:val="hybridMultilevel"/>
    <w:tmpl w:val="4BA2EFFA"/>
    <w:lvl w:ilvl="0" w:tplc="87068B9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38C5B78"/>
    <w:multiLevelType w:val="hybridMultilevel"/>
    <w:tmpl w:val="87E4D9D0"/>
    <w:lvl w:ilvl="0" w:tplc="0528417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78F4766"/>
    <w:multiLevelType w:val="hybridMultilevel"/>
    <w:tmpl w:val="CD887C1E"/>
    <w:lvl w:ilvl="0" w:tplc="AFE0C8A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DDD4537"/>
    <w:multiLevelType w:val="multilevel"/>
    <w:tmpl w:val="5544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EBE6D18"/>
    <w:multiLevelType w:val="hybridMultilevel"/>
    <w:tmpl w:val="E37237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F07CB"/>
    <w:multiLevelType w:val="multilevel"/>
    <w:tmpl w:val="51D855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F36DEC"/>
    <w:multiLevelType w:val="hybridMultilevel"/>
    <w:tmpl w:val="AD8A14DA"/>
    <w:lvl w:ilvl="0" w:tplc="2B744FE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5D00A47"/>
    <w:multiLevelType w:val="multilevel"/>
    <w:tmpl w:val="0FD013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6E289D"/>
    <w:multiLevelType w:val="hybridMultilevel"/>
    <w:tmpl w:val="2C5C15BA"/>
    <w:lvl w:ilvl="0" w:tplc="DD9641D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0617095"/>
    <w:multiLevelType w:val="hybridMultilevel"/>
    <w:tmpl w:val="36941BFA"/>
    <w:lvl w:ilvl="0" w:tplc="97F88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8D4F0E"/>
    <w:multiLevelType w:val="hybridMultilevel"/>
    <w:tmpl w:val="4030E80C"/>
    <w:lvl w:ilvl="0" w:tplc="B7B2B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A5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6D14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CD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6F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60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6D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04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A0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7CB5932"/>
    <w:multiLevelType w:val="hybridMultilevel"/>
    <w:tmpl w:val="0888844A"/>
    <w:lvl w:ilvl="0" w:tplc="CAE8A1A0">
      <w:start w:val="1"/>
      <w:numFmt w:val="bullet"/>
      <w:lvlText w:val=""/>
      <w:lvlJc w:val="left"/>
      <w:pPr>
        <w:ind w:left="1260" w:hanging="360"/>
      </w:pPr>
      <w:rPr>
        <w:rFonts w:ascii="Symbol" w:eastAsia="Arial MT" w:hAnsi="Symbol" w:cs="Arial MT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FF21360"/>
    <w:multiLevelType w:val="multilevel"/>
    <w:tmpl w:val="02920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0CB226E"/>
    <w:multiLevelType w:val="hybridMultilevel"/>
    <w:tmpl w:val="D236020E"/>
    <w:lvl w:ilvl="0" w:tplc="9D66F6FC">
      <w:start w:val="1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65380"/>
    <w:multiLevelType w:val="hybridMultilevel"/>
    <w:tmpl w:val="21284F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31B20"/>
    <w:multiLevelType w:val="hybridMultilevel"/>
    <w:tmpl w:val="1CCE85C4"/>
    <w:lvl w:ilvl="0" w:tplc="58D8EE7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FF718CF"/>
    <w:multiLevelType w:val="hybridMultilevel"/>
    <w:tmpl w:val="CAA25028"/>
    <w:lvl w:ilvl="0" w:tplc="9DA8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95AC6"/>
    <w:multiLevelType w:val="hybridMultilevel"/>
    <w:tmpl w:val="655275AE"/>
    <w:lvl w:ilvl="0" w:tplc="E002470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61378BC"/>
    <w:multiLevelType w:val="hybridMultilevel"/>
    <w:tmpl w:val="B4522DFC"/>
    <w:lvl w:ilvl="0" w:tplc="81A2C510">
      <w:start w:val="1"/>
      <w:numFmt w:val="bullet"/>
      <w:lvlText w:val="-"/>
      <w:lvlJc w:val="left"/>
      <w:pPr>
        <w:ind w:left="288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DAF78D3"/>
    <w:multiLevelType w:val="multilevel"/>
    <w:tmpl w:val="0A328D3A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2001108525">
    <w:abstractNumId w:val="12"/>
  </w:num>
  <w:num w:numId="2" w16cid:durableId="1606880728">
    <w:abstractNumId w:val="24"/>
  </w:num>
  <w:num w:numId="3" w16cid:durableId="1128278011">
    <w:abstractNumId w:val="8"/>
  </w:num>
  <w:num w:numId="4" w16cid:durableId="7224049">
    <w:abstractNumId w:val="10"/>
  </w:num>
  <w:num w:numId="5" w16cid:durableId="847259862">
    <w:abstractNumId w:val="4"/>
  </w:num>
  <w:num w:numId="6" w16cid:durableId="1976371453">
    <w:abstractNumId w:val="14"/>
  </w:num>
  <w:num w:numId="7" w16cid:durableId="1898933785">
    <w:abstractNumId w:val="5"/>
  </w:num>
  <w:num w:numId="8" w16cid:durableId="308675855">
    <w:abstractNumId w:val="22"/>
  </w:num>
  <w:num w:numId="9" w16cid:durableId="1007367294">
    <w:abstractNumId w:val="0"/>
  </w:num>
  <w:num w:numId="10" w16cid:durableId="2091921012">
    <w:abstractNumId w:val="7"/>
  </w:num>
  <w:num w:numId="11" w16cid:durableId="1125319601">
    <w:abstractNumId w:val="13"/>
  </w:num>
  <w:num w:numId="12" w16cid:durableId="1664043504">
    <w:abstractNumId w:val="6"/>
  </w:num>
  <w:num w:numId="13" w16cid:durableId="529951081">
    <w:abstractNumId w:val="20"/>
  </w:num>
  <w:num w:numId="14" w16cid:durableId="158010038">
    <w:abstractNumId w:val="11"/>
  </w:num>
  <w:num w:numId="15" w16cid:durableId="568853779">
    <w:abstractNumId w:val="1"/>
  </w:num>
  <w:num w:numId="16" w16cid:durableId="1616673169">
    <w:abstractNumId w:val="21"/>
  </w:num>
  <w:num w:numId="17" w16cid:durableId="1998996870">
    <w:abstractNumId w:val="17"/>
  </w:num>
  <w:num w:numId="18" w16cid:durableId="303044192">
    <w:abstractNumId w:val="18"/>
  </w:num>
  <w:num w:numId="19" w16cid:durableId="2068067654">
    <w:abstractNumId w:val="16"/>
  </w:num>
  <w:num w:numId="20" w16cid:durableId="1673945383">
    <w:abstractNumId w:val="23"/>
  </w:num>
  <w:num w:numId="21" w16cid:durableId="330261562">
    <w:abstractNumId w:val="3"/>
  </w:num>
  <w:num w:numId="22" w16cid:durableId="646589176">
    <w:abstractNumId w:val="15"/>
  </w:num>
  <w:num w:numId="23" w16cid:durableId="1403674685">
    <w:abstractNumId w:val="9"/>
  </w:num>
  <w:num w:numId="24" w16cid:durableId="934246237">
    <w:abstractNumId w:val="19"/>
  </w:num>
  <w:num w:numId="25" w16cid:durableId="886912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B6"/>
    <w:rsid w:val="0008596B"/>
    <w:rsid w:val="000863F7"/>
    <w:rsid w:val="00095E94"/>
    <w:rsid w:val="000A6A60"/>
    <w:rsid w:val="000A735A"/>
    <w:rsid w:val="000C045A"/>
    <w:rsid w:val="000C5652"/>
    <w:rsid w:val="000F22EB"/>
    <w:rsid w:val="00106C40"/>
    <w:rsid w:val="001168F2"/>
    <w:rsid w:val="00120689"/>
    <w:rsid w:val="0015329E"/>
    <w:rsid w:val="00182684"/>
    <w:rsid w:val="001A1C89"/>
    <w:rsid w:val="001A3B6D"/>
    <w:rsid w:val="001D19FE"/>
    <w:rsid w:val="001E2B4D"/>
    <w:rsid w:val="0020136F"/>
    <w:rsid w:val="00240E83"/>
    <w:rsid w:val="00282F32"/>
    <w:rsid w:val="002C0026"/>
    <w:rsid w:val="002C7DA8"/>
    <w:rsid w:val="002E3EBB"/>
    <w:rsid w:val="002F0EFB"/>
    <w:rsid w:val="00324610"/>
    <w:rsid w:val="003369B6"/>
    <w:rsid w:val="00366B90"/>
    <w:rsid w:val="00385D60"/>
    <w:rsid w:val="0039495B"/>
    <w:rsid w:val="003C019D"/>
    <w:rsid w:val="003C6A93"/>
    <w:rsid w:val="003E4FAB"/>
    <w:rsid w:val="004109A5"/>
    <w:rsid w:val="00415096"/>
    <w:rsid w:val="0041726B"/>
    <w:rsid w:val="004279A0"/>
    <w:rsid w:val="00432F97"/>
    <w:rsid w:val="004347A9"/>
    <w:rsid w:val="004520AC"/>
    <w:rsid w:val="004D44B8"/>
    <w:rsid w:val="004D79AF"/>
    <w:rsid w:val="00506D6C"/>
    <w:rsid w:val="00511E56"/>
    <w:rsid w:val="00516BDF"/>
    <w:rsid w:val="005355C0"/>
    <w:rsid w:val="00546534"/>
    <w:rsid w:val="0054751D"/>
    <w:rsid w:val="0057794D"/>
    <w:rsid w:val="00582EF6"/>
    <w:rsid w:val="00594E49"/>
    <w:rsid w:val="005A372C"/>
    <w:rsid w:val="005D0AB0"/>
    <w:rsid w:val="005E5F1D"/>
    <w:rsid w:val="005E775B"/>
    <w:rsid w:val="0064227D"/>
    <w:rsid w:val="00664010"/>
    <w:rsid w:val="0067243E"/>
    <w:rsid w:val="00681D24"/>
    <w:rsid w:val="00691F00"/>
    <w:rsid w:val="00692788"/>
    <w:rsid w:val="006B5325"/>
    <w:rsid w:val="006C2783"/>
    <w:rsid w:val="006D2F35"/>
    <w:rsid w:val="007037D3"/>
    <w:rsid w:val="007068FB"/>
    <w:rsid w:val="00723B7F"/>
    <w:rsid w:val="00732E45"/>
    <w:rsid w:val="00744162"/>
    <w:rsid w:val="00767B05"/>
    <w:rsid w:val="007C3813"/>
    <w:rsid w:val="007C7B56"/>
    <w:rsid w:val="007E72AE"/>
    <w:rsid w:val="00807D27"/>
    <w:rsid w:val="00835D27"/>
    <w:rsid w:val="00837B07"/>
    <w:rsid w:val="00842320"/>
    <w:rsid w:val="00874D91"/>
    <w:rsid w:val="00877E5E"/>
    <w:rsid w:val="0088019B"/>
    <w:rsid w:val="00882DE5"/>
    <w:rsid w:val="008848E5"/>
    <w:rsid w:val="00893366"/>
    <w:rsid w:val="008F1446"/>
    <w:rsid w:val="009261B1"/>
    <w:rsid w:val="00937EEA"/>
    <w:rsid w:val="00957548"/>
    <w:rsid w:val="00973C1A"/>
    <w:rsid w:val="00977E79"/>
    <w:rsid w:val="00997F97"/>
    <w:rsid w:val="009B6AF5"/>
    <w:rsid w:val="009C7FAF"/>
    <w:rsid w:val="009E21DC"/>
    <w:rsid w:val="009E269D"/>
    <w:rsid w:val="009E49B9"/>
    <w:rsid w:val="009F2234"/>
    <w:rsid w:val="009F3434"/>
    <w:rsid w:val="00A05AC7"/>
    <w:rsid w:val="00A20FEA"/>
    <w:rsid w:val="00A34401"/>
    <w:rsid w:val="00A93D68"/>
    <w:rsid w:val="00A977EF"/>
    <w:rsid w:val="00AB7981"/>
    <w:rsid w:val="00AE36BC"/>
    <w:rsid w:val="00AF020B"/>
    <w:rsid w:val="00AF41CE"/>
    <w:rsid w:val="00B50B08"/>
    <w:rsid w:val="00B521E3"/>
    <w:rsid w:val="00B90570"/>
    <w:rsid w:val="00BA1051"/>
    <w:rsid w:val="00BA556E"/>
    <w:rsid w:val="00BD3406"/>
    <w:rsid w:val="00BF04B2"/>
    <w:rsid w:val="00BF4771"/>
    <w:rsid w:val="00C02CEA"/>
    <w:rsid w:val="00C051E0"/>
    <w:rsid w:val="00C1125B"/>
    <w:rsid w:val="00C176E9"/>
    <w:rsid w:val="00C54216"/>
    <w:rsid w:val="00C57201"/>
    <w:rsid w:val="00C65C07"/>
    <w:rsid w:val="00C715E5"/>
    <w:rsid w:val="00C82F65"/>
    <w:rsid w:val="00C845E2"/>
    <w:rsid w:val="00C93728"/>
    <w:rsid w:val="00C955FB"/>
    <w:rsid w:val="00CC4FDD"/>
    <w:rsid w:val="00CC6589"/>
    <w:rsid w:val="00CF1E5F"/>
    <w:rsid w:val="00CF3E30"/>
    <w:rsid w:val="00D14D5B"/>
    <w:rsid w:val="00D211C8"/>
    <w:rsid w:val="00D37F20"/>
    <w:rsid w:val="00D42F7A"/>
    <w:rsid w:val="00D4385B"/>
    <w:rsid w:val="00D447AF"/>
    <w:rsid w:val="00D46631"/>
    <w:rsid w:val="00D55F61"/>
    <w:rsid w:val="00D92AA0"/>
    <w:rsid w:val="00DA1C53"/>
    <w:rsid w:val="00DB42C8"/>
    <w:rsid w:val="00DD1919"/>
    <w:rsid w:val="00DE3978"/>
    <w:rsid w:val="00DF0EF7"/>
    <w:rsid w:val="00DF5582"/>
    <w:rsid w:val="00E25DA6"/>
    <w:rsid w:val="00E2766E"/>
    <w:rsid w:val="00E308DF"/>
    <w:rsid w:val="00E33281"/>
    <w:rsid w:val="00E6678A"/>
    <w:rsid w:val="00E9486A"/>
    <w:rsid w:val="00E95B32"/>
    <w:rsid w:val="00EA0E97"/>
    <w:rsid w:val="00EC0399"/>
    <w:rsid w:val="00EC34C4"/>
    <w:rsid w:val="00EC4311"/>
    <w:rsid w:val="00F02158"/>
    <w:rsid w:val="00F27A66"/>
    <w:rsid w:val="00F370D2"/>
    <w:rsid w:val="00F51BB4"/>
    <w:rsid w:val="00F76B8D"/>
    <w:rsid w:val="00F82950"/>
    <w:rsid w:val="00F97462"/>
    <w:rsid w:val="00FA3117"/>
    <w:rsid w:val="00FC5B1E"/>
    <w:rsid w:val="00F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BFFE9"/>
  <w15:docId w15:val="{FCB5D517-1A07-42EA-9072-2BAF7AFE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s" w:eastAsia="ja-JP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</w:rPr>
  </w:style>
  <w:style w:type="paragraph" w:styleId="Ttulo">
    <w:name w:val="Title"/>
    <w:basedOn w:val="Normal"/>
    <w:uiPriority w:val="10"/>
    <w:qFormat/>
    <w:pPr>
      <w:ind w:left="4861"/>
    </w:pPr>
    <w:rPr>
      <w:rFonts w:ascii="Times New Roman" w:eastAsia="Times New Roman" w:hAnsi="Times New Roman" w:cs="Times New Roman"/>
      <w:sz w:val="15"/>
    </w:rPr>
  </w:style>
  <w:style w:type="paragraph" w:styleId="Prrafodelista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2950"/>
    <w:rPr>
      <w:rFonts w:ascii="Arial MT" w:eastAsia="Arial MT" w:hAnsi="Arial MT" w:cs="Arial MT"/>
    </w:rPr>
  </w:style>
  <w:style w:type="paragraph" w:styleId="Piedepgina">
    <w:name w:val="footer"/>
    <w:basedOn w:val="Normal"/>
    <w:link w:val="PiedepginaCar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950"/>
    <w:rPr>
      <w:rFonts w:ascii="Arial MT" w:eastAsia="Arial MT" w:hAnsi="Arial MT" w:cs="Arial M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92788"/>
    <w:pPr>
      <w:widowControl/>
      <w:autoSpaceDE/>
      <w:autoSpaceDN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9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1E2B4D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125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F5582"/>
    <w:rPr>
      <w:color w:val="800080" w:themeColor="followedHyperlink"/>
      <w:u w:val="single"/>
    </w:rPr>
  </w:style>
  <w:style w:type="paragraph" w:customStyle="1" w:styleId="P68B1DB1-Normale1">
    <w:name w:val="P68B1DB1-Normale1"/>
    <w:basedOn w:val="Normal"/>
    <w:rPr>
      <w:rFonts w:asciiTheme="minorHAnsi" w:eastAsia="Times New Roman" w:hAnsiTheme="minorHAnsi" w:cstheme="minorHAnsi"/>
      <w:color w:val="FFFFFF"/>
      <w:sz w:val="20"/>
    </w:rPr>
  </w:style>
  <w:style w:type="paragraph" w:customStyle="1" w:styleId="P68B1DB1-Normale2">
    <w:name w:val="P68B1DB1-Normale2"/>
    <w:basedOn w:val="Normal"/>
    <w:rPr>
      <w:rFonts w:ascii="Calibri Light" w:eastAsia="Calibri" w:hAnsi="Calibri Light" w:cs="Calibri Light"/>
      <w:sz w:val="20"/>
    </w:rPr>
  </w:style>
  <w:style w:type="paragraph" w:customStyle="1" w:styleId="P68B1DB1-Normale3">
    <w:name w:val="P68B1DB1-Normale3"/>
    <w:basedOn w:val="Normal"/>
    <w:rPr>
      <w:rFonts w:asciiTheme="minorHAnsi" w:eastAsia="Times New Roman" w:hAnsiTheme="minorHAnsi" w:cstheme="minorHAnsi"/>
      <w:sz w:val="20"/>
    </w:rPr>
  </w:style>
  <w:style w:type="paragraph" w:customStyle="1" w:styleId="P68B1DB1-Normale4">
    <w:name w:val="P68B1DB1-Normale4"/>
    <w:basedOn w:val="Normal"/>
    <w:rPr>
      <w:rFonts w:ascii="Calibri Light" w:eastAsia="Calibri" w:hAnsi="Calibri Light" w:cs="Calibri Light"/>
      <w:color w:val="000000" w:themeColor="text1"/>
      <w:sz w:val="20"/>
    </w:rPr>
  </w:style>
  <w:style w:type="paragraph" w:customStyle="1" w:styleId="P68B1DB1-Normale5">
    <w:name w:val="P68B1DB1-Normale5"/>
    <w:basedOn w:val="Normal"/>
    <w:rPr>
      <w:rFonts w:ascii="Calibri Light" w:eastAsia="Times New Roman" w:hAnsi="Calibri Light" w:cs="Calibri Light"/>
      <w:color w:val="000000" w:themeColor="text1"/>
      <w:sz w:val="20"/>
    </w:rPr>
  </w:style>
  <w:style w:type="paragraph" w:customStyle="1" w:styleId="P68B1DB1-Normale6">
    <w:name w:val="P68B1DB1-Normale6"/>
    <w:basedOn w:val="Normal"/>
    <w:rPr>
      <w:rFonts w:ascii="Calibri Light" w:eastAsia="Calibri" w:hAnsi="Calibri Light" w:cs="Calibri Light"/>
      <w:b/>
      <w:color w:val="000000" w:themeColor="text1"/>
      <w:sz w:val="20"/>
    </w:rPr>
  </w:style>
  <w:style w:type="paragraph" w:customStyle="1" w:styleId="P68B1DB1-Normale7">
    <w:name w:val="P68B1DB1-Normale7"/>
    <w:basedOn w:val="Normal"/>
    <w:rPr>
      <w:rFonts w:ascii="Calibri Light" w:hAnsi="Calibri Light" w:cs="Calibri Light"/>
      <w:b/>
      <w:color w:val="000000" w:themeColor="text1"/>
      <w:sz w:val="20"/>
    </w:rPr>
  </w:style>
  <w:style w:type="paragraph" w:customStyle="1" w:styleId="P68B1DB1-Normale8">
    <w:name w:val="P68B1DB1-Normale8"/>
    <w:basedOn w:val="Normal"/>
    <w:rPr>
      <w:rFonts w:ascii="Calibri Light" w:hAnsi="Calibri Light" w:cs="Calibri Light"/>
      <w:sz w:val="20"/>
    </w:rPr>
  </w:style>
  <w:style w:type="paragraph" w:customStyle="1" w:styleId="P68B1DB1-Normale9">
    <w:name w:val="P68B1DB1-Normale9"/>
    <w:basedOn w:val="Normal"/>
    <w:rPr>
      <w:rFonts w:asciiTheme="minorHAnsi" w:eastAsia="Calibri" w:hAnsiTheme="minorHAnsi" w:cstheme="minorHAnsi"/>
      <w:sz w:val="20"/>
    </w:rPr>
  </w:style>
  <w:style w:type="paragraph" w:customStyle="1" w:styleId="P68B1DB1-Normale10">
    <w:name w:val="P68B1DB1-Normale10"/>
    <w:basedOn w:val="Normal"/>
    <w:rPr>
      <w:rFonts w:ascii="Calibri Light" w:eastAsia="Calibri" w:hAnsi="Calibri Light" w:cs="Calibri Light"/>
      <w:b/>
      <w:color w:val="00B050"/>
      <w:sz w:val="20"/>
    </w:rPr>
  </w:style>
  <w:style w:type="paragraph" w:customStyle="1" w:styleId="P68B1DB1-Normale11">
    <w:name w:val="P68B1DB1-Normale11"/>
    <w:basedOn w:val="Normal"/>
    <w:rPr>
      <w:rFonts w:asciiTheme="minorHAnsi" w:eastAsia="Calibri" w:hAnsiTheme="minorHAnsi" w:cstheme="minorHAnsi"/>
      <w:color w:val="FFFFFF"/>
      <w:sz w:val="20"/>
    </w:rPr>
  </w:style>
  <w:style w:type="paragraph" w:customStyle="1" w:styleId="P68B1DB1-Normale12">
    <w:name w:val="P68B1DB1-Normale12"/>
    <w:basedOn w:val="Normal"/>
    <w:rPr>
      <w:rFonts w:ascii="Calibri" w:eastAsia="Calibri" w:hAnsi="Calibri" w:cs="Calibri"/>
      <w:color w:val="000000" w:themeColor="text1"/>
      <w:sz w:val="20"/>
    </w:rPr>
  </w:style>
  <w:style w:type="paragraph" w:customStyle="1" w:styleId="P68B1DB1-Paragrafoelenco13">
    <w:name w:val="P68B1DB1-Paragrafoelenco13"/>
    <w:basedOn w:val="Prrafodelista"/>
    <w:rPr>
      <w:rFonts w:ascii="Calibri Light" w:eastAsia="Calibri" w:hAnsi="Calibri Light" w:cs="Calibri Light"/>
      <w:color w:val="000000" w:themeColor="text1"/>
      <w:sz w:val="20"/>
    </w:rPr>
  </w:style>
  <w:style w:type="paragraph" w:customStyle="1" w:styleId="P68B1DB1-Corpotesto14">
    <w:name w:val="P68B1DB1-Corpotesto14"/>
    <w:basedOn w:val="Textoindependiente"/>
    <w:rPr>
      <w:rFonts w:asciiTheme="minorHAnsi" w:hAnsiTheme="minorHAnsi" w:cstheme="minorHAnsi"/>
    </w:rPr>
  </w:style>
  <w:style w:type="paragraph" w:customStyle="1" w:styleId="P68B1DB1-Corpotesto15">
    <w:name w:val="P68B1DB1-Corpotesto15"/>
    <w:basedOn w:val="Textoindependiente"/>
    <w:rPr>
      <w:b/>
    </w:rPr>
  </w:style>
  <w:style w:type="paragraph" w:customStyle="1" w:styleId="P68B1DB1-Titolo16">
    <w:name w:val="P68B1DB1-Titolo16"/>
    <w:basedOn w:val="Ttulo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1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Sergia Pignat</dc:creator>
  <cp:lastModifiedBy>Miriam Internet Web Solutions</cp:lastModifiedBy>
  <cp:revision>13</cp:revision>
  <dcterms:created xsi:type="dcterms:W3CDTF">2023-01-27T12:54:00Z</dcterms:created>
  <dcterms:modified xsi:type="dcterms:W3CDTF">2023-03-28T11:22:00Z</dcterms:modified>
</cp:coreProperties>
</file>