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5C876348" w:rsidR="00FA3117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1543D">
        <w:rPr>
          <w:rFonts w:ascii="Calibri" w:eastAsia="Calibri" w:hAnsi="Calibri" w:cs="Calibri"/>
          <w:b/>
          <w:bCs/>
          <w:sz w:val="44"/>
          <w:szCs w:val="36"/>
          <w:lang w:val="en-GB"/>
        </w:rPr>
        <w:t>Schulungsunterlagen</w:t>
      </w:r>
      <w:proofErr w:type="spellEnd"/>
    </w:p>
    <w:p w14:paraId="3317E358" w14:textId="77777777" w:rsidR="00C845E2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D97A78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350BF4D2" w:rsidR="00692788" w:rsidRPr="00D97A78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</w:t>
            </w:r>
            <w:r w:rsidR="00071B96" w:rsidRPr="00D97A7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el</w:t>
            </w:r>
            <w:proofErr w:type="spellEnd"/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627D65F2" w:rsidR="00692788" w:rsidRPr="00D97A78" w:rsidRDefault="00071B96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proofErr w:type="spellStart"/>
            <w:r w:rsidRPr="00D97A78">
              <w:rPr>
                <w:rFonts w:asciiTheme="minorHAnsi" w:hAnsiTheme="minorHAnsi" w:cstheme="minorHAnsi"/>
                <w:sz w:val="20"/>
                <w:lang w:val="de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sz w:val="20"/>
                <w:lang w:val="de"/>
              </w:rPr>
              <w:t xml:space="preserve"> für Pädagogen und Organisationen: Betriebliche Implikationen</w:t>
            </w:r>
          </w:p>
        </w:tc>
      </w:tr>
      <w:tr w:rsidR="0039495B" w:rsidRPr="00D97A78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BC724E6" w:rsidR="00DE3978" w:rsidRPr="00D97A78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="00DE3978" w:rsidRPr="00D97A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7A2BEB52" w:rsidR="00DE3978" w:rsidRPr="00D97A78" w:rsidRDefault="00071B96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sz w:val="20"/>
                <w:lang w:val="de"/>
              </w:rPr>
              <w:t>Transversal</w:t>
            </w:r>
          </w:p>
        </w:tc>
      </w:tr>
      <w:tr w:rsidR="0039495B" w:rsidRPr="00D97A78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56CCB62B" w:rsidR="00692788" w:rsidRPr="00D97A78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Keywords</w:t>
            </w:r>
            <w:r w:rsidR="002C7DA8" w:rsidRPr="00D97A7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Pr="00D97A78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06F0E34F" w:rsidR="00692788" w:rsidRPr="00D97A78" w:rsidRDefault="006C0268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sz w:val="20"/>
                <w:lang w:val="en-GB"/>
              </w:rPr>
              <w:t>DigComp; Education; Training</w:t>
            </w:r>
          </w:p>
        </w:tc>
      </w:tr>
      <w:tr w:rsidR="0039495B" w:rsidRPr="00D97A78" w14:paraId="062E4ED2" w14:textId="77777777" w:rsidTr="00511E56">
        <w:tc>
          <w:tcPr>
            <w:tcW w:w="2659" w:type="dxa"/>
            <w:shd w:val="clear" w:color="auto" w:fill="auto"/>
          </w:tcPr>
          <w:p w14:paraId="62934BCC" w14:textId="1E935D21" w:rsidR="00692788" w:rsidRPr="00D97A78" w:rsidRDefault="00071B96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Sprache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484F7351" w:rsidR="00692788" w:rsidRPr="00D97A78" w:rsidRDefault="00071B96" w:rsidP="00AE36BC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sz w:val="20"/>
                <w:lang w:val="en-GB"/>
              </w:rPr>
              <w:t>Deutsch</w:t>
            </w:r>
          </w:p>
        </w:tc>
      </w:tr>
      <w:tr w:rsidR="006C0268" w:rsidRPr="00D97A78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38E8BEE3" w:rsidR="006C0268" w:rsidRPr="00D97A78" w:rsidRDefault="00071B96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Ziele / Ziele / Lernergebnisse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2139A1" w14:textId="77777777" w:rsidR="0062278B" w:rsidRPr="00D97A78" w:rsidRDefault="0062278B" w:rsidP="00BE7C7D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Kennen Sie die EU-Rahmen für die allgemeine und berufliche Bildung</w:t>
            </w:r>
          </w:p>
          <w:p w14:paraId="6BACA1B0" w14:textId="77777777" w:rsidR="0062278B" w:rsidRPr="00D97A78" w:rsidRDefault="0062278B" w:rsidP="00BE7C7D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Verstehen Sie den Hintergrund und den Umfang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 </w:t>
            </w:r>
          </w:p>
          <w:p w14:paraId="58C3D2B9" w14:textId="77777777" w:rsidR="0062278B" w:rsidRPr="00D97A78" w:rsidRDefault="0062278B" w:rsidP="00BE7C7D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Verstehen Sie den Hintergrund und den Umfang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DigCompEDU</w:t>
            </w:r>
            <w:proofErr w:type="spellEnd"/>
          </w:p>
          <w:p w14:paraId="46F31212" w14:textId="6B77F1B9" w:rsidR="006C0268" w:rsidRPr="00D97A78" w:rsidRDefault="0062278B" w:rsidP="006C0268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Kennen Sie die Struktur und den Inhalt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DigCompEDU</w:t>
            </w:r>
            <w:proofErr w:type="spellEnd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: Möglichkeiten für Benutzer</w:t>
            </w:r>
          </w:p>
        </w:tc>
      </w:tr>
      <w:tr w:rsidR="006C0268" w:rsidRPr="00D97A78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1A713B1A" w:rsidR="006C0268" w:rsidRPr="00D97A78" w:rsidRDefault="002916DF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Beschreibung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109D934" w14:textId="77777777" w:rsidR="002916DF" w:rsidRPr="00D97A78" w:rsidRDefault="002916DF" w:rsidP="007F1A5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 xml:space="preserve">Die operativen Implikationen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 xml:space="preserve"> für Pädagogen und Organisationen liegen in den Motivationen hinter der Existenz des Frameworks und des offiziellen EU-Strategiepapiers, aus dem es stammt.</w:t>
            </w:r>
          </w:p>
          <w:p w14:paraId="01DE711E" w14:textId="77777777" w:rsidR="002916DF" w:rsidRPr="00D97A78" w:rsidRDefault="002916DF" w:rsidP="007F1A5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</w:p>
          <w:p w14:paraId="4DA63B7A" w14:textId="77777777" w:rsidR="002916DF" w:rsidRPr="00D97A78" w:rsidRDefault="002916DF" w:rsidP="007F1A5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 xml:space="preserve">Ab heute und seit seiner offiziellen Veröffentlichung umfasst die offizielle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 w:eastAsia="en-GB"/>
              </w:rPr>
              <w:t>-Literatur mehrere Folge- und Spin-off-Dokumente, die dazu beitragen, die EU-Ressourcen für die Aus- und Weiterbildung von EU-Bürgern zu digitalen Kompetenzen zu stärken, zu aktualisieren und weiterzuentwickeln.</w:t>
            </w:r>
          </w:p>
          <w:p w14:paraId="11CD13B1" w14:textId="0FBBD4C1" w:rsidR="006C0268" w:rsidRPr="00D97A78" w:rsidRDefault="006C0268" w:rsidP="006C0268">
            <w:pPr>
              <w:spacing w:line="276" w:lineRule="auto"/>
              <w:contextualSpacing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6C0268" w:rsidRPr="00D97A78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6238AE71" w:rsidR="006C0268" w:rsidRPr="00D97A78" w:rsidRDefault="002916DF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Inhalt in 3 Ebenen angeordnet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1F4C8FA" w14:textId="77777777" w:rsidR="002916DF" w:rsidRPr="00D97A78" w:rsidRDefault="002916DF" w:rsidP="004A1DD0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für Pädagogen und Organisationen: Betriebliche Implikationen</w:t>
            </w:r>
          </w:p>
          <w:p w14:paraId="06CF09F9" w14:textId="77777777" w:rsidR="002916DF" w:rsidRPr="00D97A78" w:rsidRDefault="002916DF" w:rsidP="004A1DD0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  <w:p w14:paraId="4FBE3F31" w14:textId="77777777" w:rsidR="002916DF" w:rsidRPr="00D97A78" w:rsidRDefault="002916DF" w:rsidP="004A1DD0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Einheit 1: Rahmenbedingungen für die allgemeine und berufliche Bildung</w:t>
            </w:r>
          </w:p>
          <w:p w14:paraId="508B1B4F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1.1 Ein Schritt zurück in der Zeitachse</w:t>
            </w:r>
          </w:p>
          <w:p w14:paraId="03A37DBE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1.2 2006, Schlüsselkompetenzen für lebenslanges Lernen</w:t>
            </w:r>
          </w:p>
          <w:p w14:paraId="321BA5E9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1.3 8 Schlüsselkompetenzen für EU-Bürger Lebenslanges Lernen</w:t>
            </w:r>
          </w:p>
          <w:p w14:paraId="69B8A4D9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1.4 Auf dem Weg zu gemeinsam vereinbarten Zielen...</w:t>
            </w:r>
          </w:p>
          <w:p w14:paraId="6B99046D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1.5 Rahmen für die allgemeine und berufliche Bildung: bisher verfügbare (aber nicht alle) Ressourcen</w:t>
            </w:r>
          </w:p>
          <w:p w14:paraId="684BC381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1.6 Rahmenbedingungen für die allgemeine und berufliche Bildung: Was sie sind?</w:t>
            </w:r>
          </w:p>
          <w:p w14:paraId="3D981A15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1.7 ... und wofür sie nützlich sind</w:t>
            </w:r>
          </w:p>
          <w:p w14:paraId="0F2D78E4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  <w:p w14:paraId="5E836D76" w14:textId="77777777" w:rsidR="002916DF" w:rsidRPr="00D97A78" w:rsidRDefault="002916DF" w:rsidP="004A1DD0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 xml:space="preserve">Lektion 2: </w:t>
            </w: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 xml:space="preserve"> und zugehöriges Follow-</w:t>
            </w: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up</w:t>
            </w:r>
            <w:proofErr w:type="spellEnd"/>
          </w:p>
          <w:p w14:paraId="730B2F44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lastRenderedPageBreak/>
              <w:t>2.1 Die Rahmenbedingungen für die digitale Kompetenz der EU-Bürger im Bereich der allgemeinen und beruflichen Bildung</w:t>
            </w:r>
          </w:p>
          <w:p w14:paraId="0F213705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2.2 Aufbau und Inhalt des Rahmens</w:t>
            </w:r>
          </w:p>
          <w:p w14:paraId="08488347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2.3 Eine fortlaufende Erfahrung</w:t>
            </w:r>
          </w:p>
          <w:p w14:paraId="60E0E0B4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  <w:p w14:paraId="2E195626" w14:textId="77777777" w:rsidR="002916DF" w:rsidRPr="00D97A78" w:rsidRDefault="002916DF" w:rsidP="004A1DD0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 xml:space="preserve">Lektion 3: </w:t>
            </w: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DigCompEDU</w:t>
            </w:r>
            <w:proofErr w:type="spellEnd"/>
          </w:p>
          <w:p w14:paraId="1D0AB3D8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3.1 Der Rahmen für digitale Kompetenzen für Lehrkräfte</w:t>
            </w:r>
          </w:p>
          <w:p w14:paraId="3EA2163F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3.2 Inhalt und Struktur von </w:t>
            </w:r>
            <w:proofErr w:type="spellStart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DigCompEDU</w:t>
            </w:r>
            <w:proofErr w:type="spellEnd"/>
          </w:p>
          <w:p w14:paraId="6B3C523D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3.3 Verständnis der Beziehung zwischen den einzelnen Bereichen</w:t>
            </w:r>
          </w:p>
          <w:p w14:paraId="042BE8D2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3.4 Das Fazit von </w:t>
            </w:r>
            <w:proofErr w:type="spellStart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DigCompEDU</w:t>
            </w:r>
            <w:proofErr w:type="spellEnd"/>
          </w:p>
          <w:p w14:paraId="238F811B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3.5 Wozu braucht der Train-</w:t>
            </w:r>
            <w:proofErr w:type="spellStart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the</w:t>
            </w:r>
            <w:proofErr w:type="spellEnd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-Trainer?</w:t>
            </w:r>
          </w:p>
          <w:p w14:paraId="5358A0DB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3.6 Skalieren der </w:t>
            </w:r>
            <w:proofErr w:type="spellStart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DigCompEDU</w:t>
            </w:r>
            <w:proofErr w:type="spellEnd"/>
          </w:p>
          <w:p w14:paraId="0A1FC64E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3.7 </w:t>
            </w:r>
            <w:proofErr w:type="spellStart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DigCompEDU</w:t>
            </w:r>
            <w:proofErr w:type="spellEnd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 xml:space="preserve"> und </w:t>
            </w:r>
            <w:proofErr w:type="spellStart"/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DigComp</w:t>
            </w:r>
            <w:proofErr w:type="spellEnd"/>
          </w:p>
          <w:p w14:paraId="00076286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  <w:p w14:paraId="365B6D65" w14:textId="77777777" w:rsidR="002916DF" w:rsidRPr="00D97A78" w:rsidRDefault="002916DF" w:rsidP="004A1DD0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 xml:space="preserve">Lektion 4: </w:t>
            </w: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>DigCompEDU</w:t>
            </w:r>
            <w:proofErr w:type="spellEnd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 w:eastAsia="en-GB"/>
              </w:rPr>
              <w:t xml:space="preserve"> in der Praxis</w:t>
            </w:r>
          </w:p>
          <w:p w14:paraId="6C8096CE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4.1 Berufliches Engagement</w:t>
            </w:r>
          </w:p>
          <w:p w14:paraId="1C263F85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4.2 Digitale Ressourcen</w:t>
            </w:r>
          </w:p>
          <w:p w14:paraId="025F8D57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4.3 Lehren und Lernen</w:t>
            </w:r>
          </w:p>
          <w:p w14:paraId="26BDE2AD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4.4 Bewertung</w:t>
            </w:r>
          </w:p>
          <w:p w14:paraId="5DADD6CC" w14:textId="77777777" w:rsidR="002916DF" w:rsidRPr="00D97A78" w:rsidRDefault="002916DF" w:rsidP="004A1DD0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4.5 Befähigung der Lernenden</w:t>
            </w:r>
          </w:p>
          <w:p w14:paraId="17D2E18A" w14:textId="711639AE" w:rsidR="006C0268" w:rsidRPr="00D97A78" w:rsidRDefault="002916DF" w:rsidP="006C0268">
            <w:pPr>
              <w:ind w:left="708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sz w:val="20"/>
                <w:szCs w:val="20"/>
                <w:lang w:val="de" w:eastAsia="en-GB"/>
              </w:rPr>
              <w:t>4.6 Förderung der digitalen Kompetenz der Lernenden</w:t>
            </w:r>
          </w:p>
        </w:tc>
      </w:tr>
      <w:tr w:rsidR="006C0268" w:rsidRPr="00D97A78" w14:paraId="5876DEF6" w14:textId="77777777" w:rsidTr="00511E56">
        <w:tc>
          <w:tcPr>
            <w:tcW w:w="2659" w:type="dxa"/>
            <w:shd w:val="clear" w:color="auto" w:fill="auto"/>
          </w:tcPr>
          <w:p w14:paraId="30318323" w14:textId="27814FEA" w:rsidR="006C0268" w:rsidRPr="00D97A78" w:rsidRDefault="00BF74AF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bCs/>
                <w:sz w:val="20"/>
                <w:szCs w:val="20"/>
                <w:lang w:val="de"/>
              </w:rPr>
              <w:lastRenderedPageBreak/>
              <w:t>Selbsteinschätzung (Multiple-Choice-Abfragen und -Antworten)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C87FF2" w14:textId="2F437FB4" w:rsidR="006C0268" w:rsidRPr="00D97A78" w:rsidRDefault="00BF74AF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e"/>
              </w:rPr>
              <w:t>Die Gesamtzahl der Schlüsselkompetenzen beträgt</w:t>
            </w:r>
          </w:p>
          <w:p w14:paraId="53E12E2C" w14:textId="77777777" w:rsidR="006C0268" w:rsidRPr="00D97A7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>10</w:t>
            </w:r>
          </w:p>
          <w:p w14:paraId="00B51DDD" w14:textId="77777777" w:rsidR="006C0268" w:rsidRPr="00D97A7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8</w:t>
            </w:r>
          </w:p>
          <w:p w14:paraId="3F474C86" w14:textId="77777777" w:rsidR="006C0268" w:rsidRPr="00D97A7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2D4F9516" w14:textId="0A0F2457" w:rsidR="006C0268" w:rsidRPr="00D97A78" w:rsidRDefault="00235DAB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Eine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Kompetenz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wird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weiter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unterteilt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in</w:t>
            </w:r>
          </w:p>
          <w:p w14:paraId="61173B37" w14:textId="15CB9127" w:rsidR="006C0268" w:rsidRPr="00D97A78" w:rsidRDefault="00BC3CB2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B050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B050"/>
                <w:sz w:val="20"/>
                <w:szCs w:val="20"/>
                <w:lang w:val="de"/>
              </w:rPr>
              <w:t>Fähigkeiten, Einstellungen und Kenntnisse</w:t>
            </w:r>
          </w:p>
          <w:p w14:paraId="53479F18" w14:textId="62DB4235" w:rsidR="006C0268" w:rsidRPr="00D97A78" w:rsidRDefault="00BC3CB2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Fähigkeiten, Einstellungen und Know-how</w:t>
            </w:r>
          </w:p>
          <w:p w14:paraId="37395964" w14:textId="530A0BB9" w:rsidR="00BC3CB2" w:rsidRPr="00D97A78" w:rsidRDefault="00BC3CB2" w:rsidP="009F5635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Fähigkeiten, Know-how und Wissen</w:t>
            </w:r>
          </w:p>
          <w:p w14:paraId="5B0BF921" w14:textId="09E116F4" w:rsidR="009F5635" w:rsidRPr="00D97A78" w:rsidRDefault="009F5635" w:rsidP="009F5635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DigCompEDU</w:t>
            </w:r>
            <w:proofErr w:type="spellEnd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ist der Aus- und Weiterbildungsrahmen</w:t>
            </w:r>
          </w:p>
          <w:p w14:paraId="39B90E47" w14:textId="4B4A326C" w:rsidR="009F5635" w:rsidRPr="00D97A78" w:rsidRDefault="009F5635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Für alle Bürgerinnen und Bürger</w:t>
            </w:r>
          </w:p>
          <w:p w14:paraId="21D4FD9B" w14:textId="3910756E" w:rsidR="009F5635" w:rsidRPr="00D97A78" w:rsidRDefault="009F5635" w:rsidP="009F5635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Für Cybersicherheitsstudierende</w:t>
            </w:r>
          </w:p>
          <w:p w14:paraId="3B311399" w14:textId="33208A51" w:rsidR="009F5635" w:rsidRPr="00D97A78" w:rsidRDefault="009F5635" w:rsidP="009F5635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>Keiner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>oben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>genannten</w:t>
            </w:r>
            <w:proofErr w:type="spellEnd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  <w:t>Punkte</w:t>
            </w:r>
            <w:proofErr w:type="spellEnd"/>
          </w:p>
          <w:p w14:paraId="18035501" w14:textId="44087E8C" w:rsidR="006C0268" w:rsidRPr="00D97A78" w:rsidRDefault="009F5635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Welcher der folgenden Bereiche ist </w:t>
            </w: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val="de"/>
              </w:rPr>
              <w:t>kein</w:t>
            </w:r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 xml:space="preserve"> </w:t>
            </w:r>
            <w:proofErr w:type="spellStart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DigCompEDU</w:t>
            </w:r>
            <w:proofErr w:type="spellEnd"/>
            <w:r w:rsidRPr="00D97A7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de"/>
              </w:rPr>
              <w:t>-Schulungsbereich</w:t>
            </w:r>
            <w:r w:rsidRPr="00D97A78">
              <w:rPr>
                <w:rFonts w:asciiTheme="minorHAnsi" w:hAnsiTheme="minorHAnsi" w:cstheme="minorHAnsi"/>
                <w:b/>
                <w:lang w:val="de"/>
              </w:rPr>
              <w:t>?</w:t>
            </w:r>
          </w:p>
          <w:p w14:paraId="52E0BD17" w14:textId="68D99B66" w:rsidR="006C0268" w:rsidRPr="00D97A78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Problem</w:t>
            </w:r>
            <w:r w:rsidR="002E2F4B" w:rsidRPr="00D97A78">
              <w:rPr>
                <w:rFonts w:asciiTheme="minorHAnsi" w:eastAsia="Calibr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lösen</w:t>
            </w:r>
            <w:proofErr w:type="spellEnd"/>
          </w:p>
          <w:p w14:paraId="0615B8B9" w14:textId="0A79897D" w:rsidR="006C0268" w:rsidRPr="00D97A78" w:rsidRDefault="002E2F4B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>Berufliches</w:t>
            </w:r>
            <w:proofErr w:type="spellEnd"/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E</w:t>
            </w:r>
            <w:r w:rsidR="006C0268"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>ngagement</w:t>
            </w:r>
          </w:p>
          <w:p w14:paraId="63E4B815" w14:textId="30DEF5C3" w:rsidR="006C0268" w:rsidRPr="00D97A78" w:rsidRDefault="002E2F4B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US"/>
              </w:rPr>
              <w:t>Bewertung</w:t>
            </w:r>
            <w:proofErr w:type="spellEnd"/>
          </w:p>
        </w:tc>
      </w:tr>
      <w:tr w:rsidR="006C0268" w:rsidRPr="00D97A78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67E484C" w:rsidR="006C0268" w:rsidRPr="00D97A78" w:rsidRDefault="002E2F4B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lastRenderedPageBreak/>
              <w:t xml:space="preserve">Toolkit (Richtlinien, Best Practices, Checkliste, </w:t>
            </w:r>
            <w:proofErr w:type="spellStart"/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>Lessons</w:t>
            </w:r>
            <w:proofErr w:type="spellEnd"/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 xml:space="preserve"> </w:t>
            </w:r>
            <w:proofErr w:type="spellStart"/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>Learned</w:t>
            </w:r>
            <w:proofErr w:type="spellEnd"/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/>
              </w:rPr>
              <w:t>... )</w:t>
            </w:r>
          </w:p>
        </w:tc>
        <w:tc>
          <w:tcPr>
            <w:tcW w:w="1787" w:type="dxa"/>
            <w:shd w:val="clear" w:color="auto" w:fill="auto"/>
          </w:tcPr>
          <w:p w14:paraId="77BCFBDD" w14:textId="5EB6C48B" w:rsidR="006C0268" w:rsidRPr="00D97A78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Name</w:t>
            </w: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6A8C8538" w14:textId="3CDA5288" w:rsidR="006C0268" w:rsidRPr="00D97A78" w:rsidRDefault="002E2F4B" w:rsidP="00E0333B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Ein Benutzerhandbuch zu den Ressourcen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DigComp</w:t>
            </w:r>
            <w:proofErr w:type="spellEnd"/>
          </w:p>
        </w:tc>
      </w:tr>
      <w:tr w:rsidR="006C0268" w:rsidRPr="00D97A78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6C0268" w:rsidRPr="00D97A78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131F3910" w:rsidR="006C0268" w:rsidRPr="00D97A78" w:rsidRDefault="00D97A7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Beschreibung</w:t>
            </w:r>
          </w:p>
        </w:tc>
        <w:tc>
          <w:tcPr>
            <w:tcW w:w="5244" w:type="dxa"/>
            <w:shd w:val="clear" w:color="auto" w:fill="auto"/>
          </w:tcPr>
          <w:p w14:paraId="0618A9D1" w14:textId="15CE6B60" w:rsidR="006C0268" w:rsidRPr="00D97A78" w:rsidRDefault="00D97A7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Dieses Tool stellt eine Einführung in die Ressourcen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 dar, um Trainer und Pädagogen bei der Einbettung von </w:t>
            </w:r>
            <w:proofErr w:type="spellStart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DigComp</w:t>
            </w:r>
            <w:proofErr w:type="spellEnd"/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 xml:space="preserve"> in ihre Praktiken sowohl auf organisatorischer als auch auf pädagogischer Ebene besser zu unterstützen.</w:t>
            </w:r>
          </w:p>
        </w:tc>
      </w:tr>
      <w:tr w:rsidR="006C0268" w:rsidRPr="00D97A78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6C0268" w:rsidRPr="00D97A78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773CB90F" w:rsidR="006C0268" w:rsidRPr="00D97A78" w:rsidRDefault="00D97A78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"/>
              </w:rPr>
              <w:t>Dateiname</w:t>
            </w:r>
          </w:p>
        </w:tc>
        <w:tc>
          <w:tcPr>
            <w:tcW w:w="5244" w:type="dxa"/>
            <w:shd w:val="clear" w:color="auto" w:fill="auto"/>
          </w:tcPr>
          <w:p w14:paraId="57C174EB" w14:textId="2B3B1436" w:rsidR="006C0268" w:rsidRPr="00D97A78" w:rsidRDefault="00A63F6A" w:rsidP="006C0268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RESET_PR3_EPIC_TOOL_Operationalisation of </w:t>
            </w:r>
            <w:proofErr w:type="spellStart"/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DigComp_</w:t>
            </w:r>
            <w:r w:rsidR="00D97A78"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</w:t>
            </w:r>
            <w:proofErr w:type="spellEnd"/>
          </w:p>
        </w:tc>
      </w:tr>
      <w:tr w:rsidR="006C0268" w:rsidRPr="00D97A78" w14:paraId="7482D214" w14:textId="77777777" w:rsidTr="00511E56">
        <w:tc>
          <w:tcPr>
            <w:tcW w:w="2659" w:type="dxa"/>
            <w:shd w:val="clear" w:color="auto" w:fill="auto"/>
          </w:tcPr>
          <w:p w14:paraId="66F1C3BF" w14:textId="7B7CF1B7" w:rsidR="006C0268" w:rsidRPr="00D97A78" w:rsidRDefault="00D97A7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Ressourcen (Videos, Referenzlink)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21F48F3C" w:rsidR="006C0268" w:rsidRPr="00D97A78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N/</w:t>
            </w:r>
            <w:r w:rsidR="00E0333B"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A</w:t>
            </w:r>
          </w:p>
        </w:tc>
      </w:tr>
      <w:tr w:rsidR="006C0268" w:rsidRPr="00D97A78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4A6D31DE" w:rsidR="006C0268" w:rsidRPr="00D97A78" w:rsidRDefault="00D97A7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Zugehöriges Material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67D451DB" w:rsidR="006C0268" w:rsidRPr="00D97A78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6C0268" w:rsidRPr="00D97A78" w14:paraId="6E923D15" w14:textId="77777777" w:rsidTr="00511E56">
        <w:tc>
          <w:tcPr>
            <w:tcW w:w="2659" w:type="dxa"/>
            <w:shd w:val="clear" w:color="auto" w:fill="auto"/>
          </w:tcPr>
          <w:p w14:paraId="3840E9D0" w14:textId="651A0242" w:rsidR="006C0268" w:rsidRPr="00D97A78" w:rsidRDefault="00D97A78" w:rsidP="006C0268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proofErr w:type="spellStart"/>
            <w:r w:rsidRPr="00D97A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Zugehörige</w:t>
            </w:r>
            <w:proofErr w:type="spellEnd"/>
            <w:r w:rsidR="006C0268" w:rsidRPr="00D97A7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PPT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4AB9E77C" w:rsidR="006C0268" w:rsidRPr="00D97A78" w:rsidRDefault="00680263" w:rsidP="006C0268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RESET_PR3_EPIC_DigComp for </w:t>
            </w:r>
            <w:proofErr w:type="spellStart"/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educators_ppt_</w:t>
            </w:r>
            <w:r w:rsidR="00D97A78"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</w:t>
            </w:r>
            <w:proofErr w:type="spellEnd"/>
          </w:p>
        </w:tc>
      </w:tr>
      <w:tr w:rsidR="006C0268" w:rsidRPr="00D97A78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0E7A54AD" w:rsidR="006C0268" w:rsidRPr="00D97A78" w:rsidRDefault="00D97A7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  <w:lang w:val="de" w:eastAsia="en-GB"/>
              </w:rPr>
              <w:t>Bibliographie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7A16AA60" w:rsidR="006C0268" w:rsidRPr="00D97A78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6C0268" w:rsidRPr="00D97A78" w14:paraId="17253B42" w14:textId="77777777" w:rsidTr="00511E56">
        <w:tc>
          <w:tcPr>
            <w:tcW w:w="2659" w:type="dxa"/>
            <w:shd w:val="clear" w:color="auto" w:fill="auto"/>
          </w:tcPr>
          <w:p w14:paraId="1C75B20A" w14:textId="77763B90" w:rsidR="006C0268" w:rsidRPr="00D97A78" w:rsidRDefault="00D97A7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 w:rsidRPr="00D97A78">
              <w:rPr>
                <w:rFonts w:asciiTheme="minorHAnsi" w:hAnsiTheme="minorHAnsi" w:cstheme="minorHAnsi"/>
                <w:bCs/>
                <w:sz w:val="20"/>
                <w:szCs w:val="20"/>
                <w:lang w:val="de" w:eastAsia="en-GB"/>
              </w:rPr>
              <w:t>Bereitgestellt von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529310D9" w:rsidR="006C0268" w:rsidRPr="00D97A78" w:rsidRDefault="006C0268" w:rsidP="006C0268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D97A78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en-GB"/>
              </w:rPr>
              <w:t>EPIC</w:t>
            </w:r>
          </w:p>
        </w:tc>
      </w:tr>
    </w:tbl>
    <w:p w14:paraId="3494DA14" w14:textId="77777777" w:rsidR="003369B6" w:rsidRPr="00877E5E" w:rsidRDefault="003369B6" w:rsidP="002C7DA8">
      <w:pPr>
        <w:pStyle w:val="Textkrper"/>
        <w:spacing w:line="360" w:lineRule="auto"/>
        <w:rPr>
          <w:rFonts w:ascii="Times New Roman"/>
          <w:sz w:val="20"/>
          <w:lang w:val="en-GB"/>
        </w:rPr>
      </w:pPr>
    </w:p>
    <w:sectPr w:rsidR="003369B6" w:rsidRPr="00877E5E" w:rsidSect="006D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5E23" w14:textId="77777777" w:rsidR="0091536F" w:rsidRDefault="0091536F" w:rsidP="00F82950">
      <w:r>
        <w:separator/>
      </w:r>
    </w:p>
  </w:endnote>
  <w:endnote w:type="continuationSeparator" w:id="0">
    <w:p w14:paraId="4C94E8C5" w14:textId="77777777" w:rsidR="0091536F" w:rsidRDefault="0091536F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221" w14:textId="77777777" w:rsidR="007068FB" w:rsidRDefault="00706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Textkrp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1EFA1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27579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Textkrper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50AB" w14:textId="77777777" w:rsidR="007068FB" w:rsidRDefault="00706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82E0" w14:textId="77777777" w:rsidR="0091536F" w:rsidRDefault="0091536F" w:rsidP="00F82950">
      <w:r>
        <w:separator/>
      </w:r>
    </w:p>
  </w:footnote>
  <w:footnote w:type="continuationSeparator" w:id="0">
    <w:p w14:paraId="572AF1FF" w14:textId="77777777" w:rsidR="0091536F" w:rsidRDefault="0091536F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2D0" w14:textId="77777777" w:rsidR="007068FB" w:rsidRDefault="00706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Textkrper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108B7B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86E" w14:textId="77777777" w:rsidR="007068FB" w:rsidRDefault="00706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160"/>
    <w:multiLevelType w:val="multilevel"/>
    <w:tmpl w:val="2C6E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B38"/>
    <w:multiLevelType w:val="multilevel"/>
    <w:tmpl w:val="E444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660D2D"/>
    <w:multiLevelType w:val="multilevel"/>
    <w:tmpl w:val="5318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C065EA"/>
    <w:multiLevelType w:val="multilevel"/>
    <w:tmpl w:val="1388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0E413F"/>
    <w:multiLevelType w:val="multilevel"/>
    <w:tmpl w:val="AA16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0E00E90"/>
    <w:multiLevelType w:val="multilevel"/>
    <w:tmpl w:val="CBD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A471E3C"/>
    <w:multiLevelType w:val="multilevel"/>
    <w:tmpl w:val="3EA6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4687F"/>
    <w:multiLevelType w:val="multilevel"/>
    <w:tmpl w:val="3428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D37649"/>
    <w:multiLevelType w:val="multilevel"/>
    <w:tmpl w:val="26F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5242C11"/>
    <w:multiLevelType w:val="multilevel"/>
    <w:tmpl w:val="6D7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7F1A649C"/>
    <w:multiLevelType w:val="hybridMultilevel"/>
    <w:tmpl w:val="FFB8D216"/>
    <w:lvl w:ilvl="0" w:tplc="0F36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847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7376786">
    <w:abstractNumId w:val="16"/>
  </w:num>
  <w:num w:numId="2" w16cid:durableId="1857234962">
    <w:abstractNumId w:val="30"/>
  </w:num>
  <w:num w:numId="3" w16cid:durableId="1255439117">
    <w:abstractNumId w:val="11"/>
  </w:num>
  <w:num w:numId="4" w16cid:durableId="2098360083">
    <w:abstractNumId w:val="12"/>
  </w:num>
  <w:num w:numId="5" w16cid:durableId="1225333641">
    <w:abstractNumId w:val="4"/>
  </w:num>
  <w:num w:numId="6" w16cid:durableId="1564217447">
    <w:abstractNumId w:val="18"/>
  </w:num>
  <w:num w:numId="7" w16cid:durableId="1841775854">
    <w:abstractNumId w:val="6"/>
  </w:num>
  <w:num w:numId="8" w16cid:durableId="1353917173">
    <w:abstractNumId w:val="26"/>
  </w:num>
  <w:num w:numId="9" w16cid:durableId="1368531172">
    <w:abstractNumId w:val="0"/>
  </w:num>
  <w:num w:numId="10" w16cid:durableId="831336108">
    <w:abstractNumId w:val="8"/>
  </w:num>
  <w:num w:numId="11" w16cid:durableId="293827627">
    <w:abstractNumId w:val="17"/>
  </w:num>
  <w:num w:numId="12" w16cid:durableId="1383093512">
    <w:abstractNumId w:val="7"/>
  </w:num>
  <w:num w:numId="13" w16cid:durableId="1985111666">
    <w:abstractNumId w:val="24"/>
  </w:num>
  <w:num w:numId="14" w16cid:durableId="265970115">
    <w:abstractNumId w:val="14"/>
  </w:num>
  <w:num w:numId="15" w16cid:durableId="1566720175">
    <w:abstractNumId w:val="1"/>
  </w:num>
  <w:num w:numId="16" w16cid:durableId="1054623630">
    <w:abstractNumId w:val="25"/>
  </w:num>
  <w:num w:numId="17" w16cid:durableId="1176843665">
    <w:abstractNumId w:val="21"/>
  </w:num>
  <w:num w:numId="18" w16cid:durableId="372383875">
    <w:abstractNumId w:val="22"/>
  </w:num>
  <w:num w:numId="19" w16cid:durableId="3871047">
    <w:abstractNumId w:val="19"/>
  </w:num>
  <w:num w:numId="20" w16cid:durableId="1162427654">
    <w:abstractNumId w:val="29"/>
  </w:num>
  <w:num w:numId="21" w16cid:durableId="312949928">
    <w:abstractNumId w:val="2"/>
  </w:num>
  <w:num w:numId="22" w16cid:durableId="1232304435">
    <w:abstractNumId w:val="31"/>
  </w:num>
  <w:num w:numId="23" w16cid:durableId="1752308219">
    <w:abstractNumId w:val="27"/>
  </w:num>
  <w:num w:numId="24" w16cid:durableId="1298685638">
    <w:abstractNumId w:val="10"/>
  </w:num>
  <w:num w:numId="25" w16cid:durableId="2048137808">
    <w:abstractNumId w:val="15"/>
  </w:num>
  <w:num w:numId="26" w16cid:durableId="1924219105">
    <w:abstractNumId w:val="3"/>
  </w:num>
  <w:num w:numId="27" w16cid:durableId="410978192">
    <w:abstractNumId w:val="13"/>
  </w:num>
  <w:num w:numId="28" w16cid:durableId="1245258798">
    <w:abstractNumId w:val="23"/>
  </w:num>
  <w:num w:numId="29" w16cid:durableId="265121734">
    <w:abstractNumId w:val="28"/>
  </w:num>
  <w:num w:numId="30" w16cid:durableId="1294016611">
    <w:abstractNumId w:val="20"/>
  </w:num>
  <w:num w:numId="31" w16cid:durableId="2129811228">
    <w:abstractNumId w:val="9"/>
  </w:num>
  <w:num w:numId="32" w16cid:durableId="829717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175B9"/>
    <w:rsid w:val="00071B96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B17F9"/>
    <w:rsid w:val="001E2B4D"/>
    <w:rsid w:val="0020136F"/>
    <w:rsid w:val="00235DAB"/>
    <w:rsid w:val="002916DF"/>
    <w:rsid w:val="002C0026"/>
    <w:rsid w:val="002C7DA8"/>
    <w:rsid w:val="002E2F4B"/>
    <w:rsid w:val="002E3EBB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543D"/>
    <w:rsid w:val="0041726B"/>
    <w:rsid w:val="004279A0"/>
    <w:rsid w:val="00432F97"/>
    <w:rsid w:val="004347A9"/>
    <w:rsid w:val="004520AC"/>
    <w:rsid w:val="004D44B8"/>
    <w:rsid w:val="004D79AF"/>
    <w:rsid w:val="00506D6C"/>
    <w:rsid w:val="00511E56"/>
    <w:rsid w:val="00516BDF"/>
    <w:rsid w:val="005355C0"/>
    <w:rsid w:val="00546534"/>
    <w:rsid w:val="0054751D"/>
    <w:rsid w:val="005770B4"/>
    <w:rsid w:val="0057794D"/>
    <w:rsid w:val="00582EF6"/>
    <w:rsid w:val="00594E49"/>
    <w:rsid w:val="005A2F98"/>
    <w:rsid w:val="005A372C"/>
    <w:rsid w:val="005E5F1D"/>
    <w:rsid w:val="005E775B"/>
    <w:rsid w:val="0062278B"/>
    <w:rsid w:val="00664010"/>
    <w:rsid w:val="0067243E"/>
    <w:rsid w:val="00680263"/>
    <w:rsid w:val="00681D24"/>
    <w:rsid w:val="00692788"/>
    <w:rsid w:val="006C0268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62BD9"/>
    <w:rsid w:val="00877E5E"/>
    <w:rsid w:val="0088019B"/>
    <w:rsid w:val="00882DE5"/>
    <w:rsid w:val="008848E5"/>
    <w:rsid w:val="00893366"/>
    <w:rsid w:val="008F1446"/>
    <w:rsid w:val="0091536F"/>
    <w:rsid w:val="009261B1"/>
    <w:rsid w:val="00937EEA"/>
    <w:rsid w:val="00944290"/>
    <w:rsid w:val="00957548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9F5635"/>
    <w:rsid w:val="00A05AC7"/>
    <w:rsid w:val="00A07AAC"/>
    <w:rsid w:val="00A20FEA"/>
    <w:rsid w:val="00A34401"/>
    <w:rsid w:val="00A63F6A"/>
    <w:rsid w:val="00A93D68"/>
    <w:rsid w:val="00A977EF"/>
    <w:rsid w:val="00AB7981"/>
    <w:rsid w:val="00AE36BC"/>
    <w:rsid w:val="00AF020B"/>
    <w:rsid w:val="00B50B08"/>
    <w:rsid w:val="00B521E3"/>
    <w:rsid w:val="00B90570"/>
    <w:rsid w:val="00BA1051"/>
    <w:rsid w:val="00BA556E"/>
    <w:rsid w:val="00BC3CB2"/>
    <w:rsid w:val="00BF04B2"/>
    <w:rsid w:val="00BF4771"/>
    <w:rsid w:val="00BF74AF"/>
    <w:rsid w:val="00C02CEA"/>
    <w:rsid w:val="00C051E0"/>
    <w:rsid w:val="00C1125B"/>
    <w:rsid w:val="00C176E9"/>
    <w:rsid w:val="00C54216"/>
    <w:rsid w:val="00C65C07"/>
    <w:rsid w:val="00C715E5"/>
    <w:rsid w:val="00C845E2"/>
    <w:rsid w:val="00C93728"/>
    <w:rsid w:val="00C943D2"/>
    <w:rsid w:val="00C955FB"/>
    <w:rsid w:val="00CC2578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97A78"/>
    <w:rsid w:val="00DA1C53"/>
    <w:rsid w:val="00DB42C8"/>
    <w:rsid w:val="00DD1919"/>
    <w:rsid w:val="00DE3978"/>
    <w:rsid w:val="00DF0EF7"/>
    <w:rsid w:val="00DF5582"/>
    <w:rsid w:val="00E0333B"/>
    <w:rsid w:val="00E205D5"/>
    <w:rsid w:val="00E25DA6"/>
    <w:rsid w:val="00E2766E"/>
    <w:rsid w:val="00E6678A"/>
    <w:rsid w:val="00E9486A"/>
    <w:rsid w:val="00E95B32"/>
    <w:rsid w:val="00EA0E97"/>
    <w:rsid w:val="00EC0399"/>
    <w:rsid w:val="00EC34C4"/>
    <w:rsid w:val="00F02158"/>
    <w:rsid w:val="00F370D2"/>
    <w:rsid w:val="00F76B8D"/>
    <w:rsid w:val="00F82950"/>
    <w:rsid w:val="00FA3117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nabsatz">
    <w:name w:val="List Paragraph"/>
    <w:basedOn w:val="Standard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950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NormaleTabelle"/>
    <w:next w:val="Tabellenras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E2B4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F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2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9.png"/><Relationship Id="rId5" Type="http://schemas.openxmlformats.org/officeDocument/2006/relationships/image" Target="media/image7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6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Anna-Carina Mohrholz</cp:lastModifiedBy>
  <cp:revision>17</cp:revision>
  <dcterms:created xsi:type="dcterms:W3CDTF">2023-01-27T12:55:00Z</dcterms:created>
  <dcterms:modified xsi:type="dcterms:W3CDTF">2023-04-14T05:50:00Z</dcterms:modified>
</cp:coreProperties>
</file>