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before="360" w:line="360" w:lineRule="auto"/>
        <w:jc w:val="center"/>
        <w:rPr>
          <w:rFonts w:ascii="Calibri" w:cs="Calibri" w:eastAsia="Calibri" w:hAnsi="Calibri"/>
          <w:b w:val="1"/>
          <w:sz w:val="44"/>
          <w:szCs w:val="44"/>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983614</wp:posOffset>
                </wp:positionH>
                <wp:positionV relativeFrom="page">
                  <wp:posOffset>1496695</wp:posOffset>
                </wp:positionV>
                <wp:extent cx="1080135" cy="767080"/>
                <wp:effectExtent b="0" l="0" r="0" t="0"/>
                <wp:wrapNone/>
                <wp:docPr id="2" name=""/>
                <a:graphic>
                  <a:graphicData uri="http://schemas.microsoft.com/office/word/2010/wordprocessingGroup">
                    <wpg:wgp>
                      <wpg:cNvGrpSpPr/>
                      <wpg:grpSpPr>
                        <a:xfrm>
                          <a:off x="4801850" y="3392425"/>
                          <a:ext cx="1080135" cy="767080"/>
                          <a:chOff x="4801850" y="3392425"/>
                          <a:chExt cx="1089825" cy="771125"/>
                        </a:xfrm>
                      </wpg:grpSpPr>
                      <wpg:grpSp>
                        <wpg:cNvGrpSpPr/>
                        <wpg:grpSpPr>
                          <a:xfrm>
                            <a:off x="4805933" y="3396460"/>
                            <a:ext cx="1080134" cy="767079"/>
                            <a:chOff x="0" y="0"/>
                            <a:chExt cx="1080134" cy="767079"/>
                          </a:xfrm>
                        </wpg:grpSpPr>
                        <wps:wsp>
                          <wps:cNvSpPr/>
                          <wps:cNvPr id="4" name="Shape 4"/>
                          <wps:spPr>
                            <a:xfrm>
                              <a:off x="0" y="0"/>
                              <a:ext cx="1080125" cy="76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9666" y="196009"/>
                              <a:ext cx="251470" cy="250551"/>
                            </a:xfrm>
                            <a:custGeom>
                              <a:rect b="b" l="l" r="r" t="t"/>
                              <a:pathLst>
                                <a:path extrusionOk="0" h="250551" w="251470">
                                  <a:moveTo>
                                    <a:pt x="2286" y="125745"/>
                                  </a:moveTo>
                                  <a:cubicBezTo>
                                    <a:pt x="14219" y="290335"/>
                                    <a:pt x="238485" y="290289"/>
                                    <a:pt x="250372" y="125745"/>
                                  </a:cubicBezTo>
                                  <a:cubicBezTo>
                                    <a:pt x="238439" y="-38844"/>
                                    <a:pt x="14189" y="-38798"/>
                                    <a:pt x="2286" y="125745"/>
                                  </a:cubicBezTo>
                                  <a:close/>
                                </a:path>
                              </a:pathLst>
                            </a:custGeom>
                            <a:noFill/>
                            <a:ln cap="flat" cmpd="sng" w="12700">
                              <a:solidFill>
                                <a:srgbClr val="0AA14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3696" y="445388"/>
                              <a:ext cx="3048" cy="63412"/>
                            </a:xfrm>
                            <a:custGeom>
                              <a:rect b="b" l="l" r="r" t="t"/>
                              <a:pathLst>
                                <a:path extrusionOk="0" h="63412" w="3048">
                                  <a:moveTo>
                                    <a:pt x="2286" y="2319"/>
                                  </a:moveTo>
                                  <a:lnTo>
                                    <a:pt x="2286" y="61262"/>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0" y="509071"/>
                              <a:ext cx="483108" cy="236630"/>
                            </a:xfrm>
                            <a:custGeom>
                              <a:rect b="b" l="l" r="r" t="t"/>
                              <a:pathLst>
                                <a:path extrusionOk="0" h="236630" w="483108">
                                  <a:moveTo>
                                    <a:pt x="481096" y="5226"/>
                                  </a:moveTo>
                                  <a:lnTo>
                                    <a:pt x="444703" y="3679"/>
                                  </a:lnTo>
                                  <a:lnTo>
                                    <a:pt x="444703" y="196154"/>
                                  </a:lnTo>
                                  <a:lnTo>
                                    <a:pt x="399181" y="196154"/>
                                  </a:lnTo>
                                  <a:cubicBezTo>
                                    <a:pt x="391287" y="-64200"/>
                                    <a:pt x="9022" y="-60380"/>
                                    <a:pt x="2286" y="196169"/>
                                  </a:cubicBezTo>
                                  <a:cubicBezTo>
                                    <a:pt x="2286" y="196154"/>
                                    <a:pt x="239831" y="196154"/>
                                    <a:pt x="239831" y="196154"/>
                                  </a:cubicBezTo>
                                  <a:lnTo>
                                    <a:pt x="239831" y="235298"/>
                                  </a:lnTo>
                                </a:path>
                              </a:pathLst>
                            </a:custGeom>
                            <a:noFill/>
                            <a:ln cap="flat" cmpd="sng" w="12700">
                              <a:solidFill>
                                <a:srgbClr val="0AA14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44622" y="163927"/>
                              <a:ext cx="576078" cy="564455"/>
                            </a:xfrm>
                            <a:custGeom>
                              <a:rect b="b" l="l" r="r" t="t"/>
                              <a:pathLst>
                                <a:path extrusionOk="0" h="564455" w="576078">
                                  <a:moveTo>
                                    <a:pt x="2286" y="323255"/>
                                  </a:moveTo>
                                  <a:lnTo>
                                    <a:pt x="2286" y="48713"/>
                                  </a:lnTo>
                                  <a:cubicBezTo>
                                    <a:pt x="2286" y="13144"/>
                                    <a:pt x="33421" y="2319"/>
                                    <a:pt x="58674" y="2319"/>
                                  </a:cubicBezTo>
                                  <a:lnTo>
                                    <a:pt x="529595" y="2319"/>
                                  </a:lnTo>
                                  <a:cubicBezTo>
                                    <a:pt x="554848" y="2319"/>
                                    <a:pt x="575316" y="23088"/>
                                    <a:pt x="575316" y="48713"/>
                                  </a:cubicBezTo>
                                  <a:lnTo>
                                    <a:pt x="575316" y="562274"/>
                                  </a:lnTo>
                                </a:path>
                              </a:pathLst>
                            </a:custGeom>
                            <a:noFill/>
                            <a:ln cap="flat" cmpd="sng" w="12700">
                              <a:solidFill>
                                <a:srgbClr val="0AA14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83649" y="100515"/>
                              <a:ext cx="696485" cy="666564"/>
                            </a:xfrm>
                            <a:custGeom>
                              <a:rect b="b" l="l" r="r" t="t"/>
                              <a:pathLst>
                                <a:path extrusionOk="0" h="666564" w="696485">
                                  <a:moveTo>
                                    <a:pt x="2286" y="475348"/>
                                  </a:moveTo>
                                  <a:lnTo>
                                    <a:pt x="2286" y="52938"/>
                                  </a:lnTo>
                                  <a:cubicBezTo>
                                    <a:pt x="2286" y="24976"/>
                                    <a:pt x="22753" y="2319"/>
                                    <a:pt x="48007" y="2319"/>
                                  </a:cubicBezTo>
                                  <a:lnTo>
                                    <a:pt x="650001" y="2319"/>
                                  </a:lnTo>
                                  <a:cubicBezTo>
                                    <a:pt x="675255" y="2319"/>
                                    <a:pt x="695723" y="24992"/>
                                    <a:pt x="695723" y="52938"/>
                                  </a:cubicBezTo>
                                  <a:lnTo>
                                    <a:pt x="695723" y="664337"/>
                                  </a:lnTo>
                                </a:path>
                              </a:pathLst>
                            </a:custGeom>
                            <a:noFill/>
                            <a:ln cap="flat" cmpd="sng" w="12700">
                              <a:solidFill>
                                <a:srgbClr val="0AA14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34543" y="262879"/>
                              <a:ext cx="141717" cy="91254"/>
                            </a:xfrm>
                            <a:custGeom>
                              <a:rect b="b" l="l" r="r" t="t"/>
                              <a:pathLst>
                                <a:path extrusionOk="0" h="91254" w="141717">
                                  <a:moveTo>
                                    <a:pt x="2285" y="42610"/>
                                  </a:moveTo>
                                  <a:lnTo>
                                    <a:pt x="50606" y="89908"/>
                                  </a:lnTo>
                                  <a:lnTo>
                                    <a:pt x="140345" y="2319"/>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752025" y="324186"/>
                              <a:ext cx="172204" cy="6193"/>
                            </a:xfrm>
                            <a:custGeom>
                              <a:rect b="b" l="l" r="r" t="t"/>
                              <a:pathLst>
                                <a:path extrusionOk="0" h="6193" w="172204">
                                  <a:moveTo>
                                    <a:pt x="2286" y="4071"/>
                                  </a:moveTo>
                                  <a:lnTo>
                                    <a:pt x="171427" y="2322"/>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537833" y="398393"/>
                              <a:ext cx="141748" cy="91224"/>
                            </a:xfrm>
                            <a:custGeom>
                              <a:rect b="b" l="l" r="r" t="t"/>
                              <a:pathLst>
                                <a:path extrusionOk="0" h="91224" w="141748">
                                  <a:moveTo>
                                    <a:pt x="2286" y="42597"/>
                                  </a:moveTo>
                                  <a:lnTo>
                                    <a:pt x="50633" y="89863"/>
                                  </a:lnTo>
                                  <a:lnTo>
                                    <a:pt x="140391" y="2319"/>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755345" y="459700"/>
                              <a:ext cx="172204" cy="6163"/>
                            </a:xfrm>
                            <a:custGeom>
                              <a:rect b="b" l="l" r="r" t="t"/>
                              <a:pathLst>
                                <a:path extrusionOk="0" h="6163" w="172204">
                                  <a:moveTo>
                                    <a:pt x="2286" y="4052"/>
                                  </a:moveTo>
                                  <a:lnTo>
                                    <a:pt x="171427" y="2311"/>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539584" y="533847"/>
                              <a:ext cx="141717" cy="91254"/>
                            </a:xfrm>
                            <a:custGeom>
                              <a:rect b="b" l="l" r="r" t="t"/>
                              <a:pathLst>
                                <a:path extrusionOk="0" h="91254" w="141717">
                                  <a:moveTo>
                                    <a:pt x="2285" y="42611"/>
                                  </a:moveTo>
                                  <a:lnTo>
                                    <a:pt x="50606" y="89908"/>
                                  </a:lnTo>
                                  <a:lnTo>
                                    <a:pt x="140345" y="2319"/>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757066" y="595154"/>
                              <a:ext cx="172204" cy="6193"/>
                            </a:xfrm>
                            <a:custGeom>
                              <a:rect b="b" l="l" r="r" t="t"/>
                              <a:pathLst>
                                <a:path extrusionOk="0" h="6193" w="172204">
                                  <a:moveTo>
                                    <a:pt x="2286" y="4071"/>
                                  </a:moveTo>
                                  <a:lnTo>
                                    <a:pt x="171427" y="2322"/>
                                  </a:lnTo>
                                </a:path>
                              </a:pathLst>
                            </a:custGeom>
                            <a:noFill/>
                            <a:ln cap="flat" cmpd="sng" w="12700">
                              <a:solidFill>
                                <a:srgbClr val="0AA14A"/>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98535" y="0"/>
                              <a:ext cx="275859" cy="162364"/>
                            </a:xfrm>
                            <a:custGeom>
                              <a:rect b="b" l="l" r="r" t="t"/>
                              <a:pathLst>
                                <a:path extrusionOk="0" h="162364" w="275859">
                                  <a:moveTo>
                                    <a:pt x="2286" y="161591"/>
                                  </a:moveTo>
                                  <a:lnTo>
                                    <a:pt x="3810" y="76543"/>
                                  </a:lnTo>
                                  <a:lnTo>
                                    <a:pt x="81538" y="76543"/>
                                  </a:lnTo>
                                  <a:cubicBezTo>
                                    <a:pt x="81538" y="76543"/>
                                    <a:pt x="76966" y="2319"/>
                                    <a:pt x="142501" y="2319"/>
                                  </a:cubicBezTo>
                                  <a:cubicBezTo>
                                    <a:pt x="208037" y="2319"/>
                                    <a:pt x="206315" y="76543"/>
                                    <a:pt x="206315" y="76543"/>
                                  </a:cubicBezTo>
                                  <a:lnTo>
                                    <a:pt x="275097" y="76543"/>
                                  </a:lnTo>
                                  <a:lnTo>
                                    <a:pt x="273573" y="161591"/>
                                  </a:lnTo>
                                </a:path>
                              </a:pathLst>
                            </a:custGeom>
                            <a:solidFill>
                              <a:srgbClr val="FFFFFF"/>
                            </a:solidFill>
                            <a:ln cap="flat" cmpd="sng" w="12700">
                              <a:solidFill>
                                <a:srgbClr val="0AA14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08287" y="30909"/>
                              <a:ext cx="63991" cy="64945"/>
                            </a:xfrm>
                            <a:custGeom>
                              <a:rect b="b" l="l" r="r" t="t"/>
                              <a:pathLst>
                                <a:path extrusionOk="0" h="64945" w="63991">
                                  <a:moveTo>
                                    <a:pt x="63229" y="33245"/>
                                  </a:moveTo>
                                  <a:cubicBezTo>
                                    <a:pt x="63229" y="50325"/>
                                    <a:pt x="49586" y="64171"/>
                                    <a:pt x="32757" y="64171"/>
                                  </a:cubicBezTo>
                                  <a:cubicBezTo>
                                    <a:pt x="15928" y="64171"/>
                                    <a:pt x="2285" y="50325"/>
                                    <a:pt x="2285" y="33245"/>
                                  </a:cubicBezTo>
                                  <a:cubicBezTo>
                                    <a:pt x="2285" y="16165"/>
                                    <a:pt x="15928" y="2319"/>
                                    <a:pt x="32757" y="2319"/>
                                  </a:cubicBezTo>
                                  <a:cubicBezTo>
                                    <a:pt x="49586" y="2319"/>
                                    <a:pt x="63229" y="16165"/>
                                    <a:pt x="63229" y="33245"/>
                                  </a:cubicBezTo>
                                  <a:close/>
                                </a:path>
                              </a:pathLst>
                            </a:custGeom>
                            <a:solidFill>
                              <a:srgbClr val="0AA1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983614</wp:posOffset>
                </wp:positionH>
                <wp:positionV relativeFrom="page">
                  <wp:posOffset>1496695</wp:posOffset>
                </wp:positionV>
                <wp:extent cx="1080135" cy="767080"/>
                <wp:effectExtent b="0" l="0" r="0" t="0"/>
                <wp:wrapNone/>
                <wp:docPr id="2"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080135" cy="767080"/>
                        </a:xfrm>
                        <a:prstGeom prst="rect"/>
                        <a:ln/>
                      </pic:spPr>
                    </pic:pic>
                  </a:graphicData>
                </a:graphic>
              </wp:anchor>
            </w:drawing>
          </mc:Fallback>
        </mc:AlternateContent>
      </w:r>
      <w:r w:rsidDel="00000000" w:rsidR="00000000" w:rsidRPr="00000000">
        <w:rPr>
          <w:rFonts w:ascii="Calibri" w:cs="Calibri" w:eastAsia="Calibri" w:hAnsi="Calibri"/>
          <w:b w:val="1"/>
          <w:sz w:val="44"/>
          <w:szCs w:val="44"/>
          <w:rtl w:val="0"/>
        </w:rPr>
        <w:t xml:space="preserve">Training Fiche Template</w:t>
      </w:r>
    </w:p>
    <w:p w:rsidR="00000000" w:rsidDel="00000000" w:rsidP="00000000" w:rsidRDefault="00000000" w:rsidRPr="00000000" w14:paraId="00000002">
      <w:pPr>
        <w:widowControl w:val="1"/>
        <w:spacing w:line="360" w:lineRule="auto"/>
        <w:jc w:val="center"/>
        <w:rPr>
          <w:rFonts w:ascii="Calibri" w:cs="Calibri" w:eastAsia="Calibri" w:hAnsi="Calibri"/>
          <w:b w:val="1"/>
          <w:sz w:val="44"/>
          <w:szCs w:val="44"/>
        </w:rPr>
      </w:pPr>
      <w:r w:rsidDel="00000000" w:rsidR="00000000" w:rsidRPr="00000000">
        <w:rPr>
          <w:rtl w:val="0"/>
        </w:rPr>
      </w:r>
    </w:p>
    <w:tbl>
      <w:tblPr>
        <w:tblStyle w:val="Table1"/>
        <w:tblW w:w="9690.0" w:type="dxa"/>
        <w:jc w:val="left"/>
        <w:tblBorders>
          <w:top w:color="0aa14a" w:space="0" w:sz="4" w:val="dashed"/>
          <w:left w:color="0aa14a" w:space="0" w:sz="4" w:val="dashed"/>
          <w:bottom w:color="0aa14a" w:space="0" w:sz="4" w:val="dashed"/>
          <w:right w:color="0aa14a" w:space="0" w:sz="4" w:val="dashed"/>
          <w:insideH w:color="0aa14a" w:space="0" w:sz="4" w:val="dashed"/>
          <w:insideV w:color="0aa14a" w:space="0" w:sz="4" w:val="dashed"/>
        </w:tblBorders>
        <w:tblLayout w:type="fixed"/>
        <w:tblLook w:val="0400"/>
      </w:tblPr>
      <w:tblGrid>
        <w:gridCol w:w="2659"/>
        <w:gridCol w:w="1787"/>
        <w:gridCol w:w="5244"/>
        <w:tblGridChange w:id="0">
          <w:tblGrid>
            <w:gridCol w:w="2659"/>
            <w:gridCol w:w="1787"/>
            <w:gridCol w:w="5244"/>
          </w:tblGrid>
        </w:tblGridChange>
      </w:tblGrid>
      <w:tr>
        <w:trPr>
          <w:cantSplit w:val="0"/>
          <w:tblHeader w:val="0"/>
        </w:trPr>
        <w:tc>
          <w:tcPr>
            <w:shd w:fill="0aa14a" w:val="clear"/>
          </w:tcPr>
          <w:p w:rsidR="00000000" w:rsidDel="00000000" w:rsidP="00000000" w:rsidRDefault="00000000" w:rsidRPr="00000000" w14:paraId="00000003">
            <w:pPr>
              <w:tabs>
                <w:tab w:val="center" w:leader="none" w:pos="1272"/>
              </w:tabs>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Titel</w:t>
              <w:tab/>
            </w:r>
          </w:p>
        </w:tc>
        <w:tc>
          <w:tcPr>
            <w:gridSpan w:val="2"/>
            <w:shd w:fill="auto" w:val="clear"/>
          </w:tcPr>
          <w:p w:rsidR="00000000" w:rsidDel="00000000" w:rsidP="00000000" w:rsidRDefault="00000000" w:rsidRPr="00000000" w14:paraId="00000004">
            <w:pPr>
              <w:spacing w:after="200" w:line="276" w:lineRule="auto"/>
              <w:rPr>
                <w:rFonts w:ascii="Calibri" w:cs="Calibri" w:eastAsia="Calibri" w:hAnsi="Calibri"/>
                <w:sz w:val="20"/>
                <w:szCs w:val="20"/>
              </w:rPr>
            </w:pPr>
            <w:r w:rsidDel="00000000" w:rsidR="00000000" w:rsidRPr="00000000">
              <w:rPr>
                <w:rtl w:val="0"/>
              </w:rPr>
              <w:t xml:space="preserve">Mikro-digital læring til EUD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tabs>
                <w:tab w:val="left" w:leader="none" w:pos="1157"/>
                <w:tab w:val="center" w:leader="none" w:pos="1250"/>
              </w:tabs>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Ref. DigCompEdu </w:t>
            </w:r>
          </w:p>
        </w:tc>
        <w:tc>
          <w:tcPr>
            <w:gridSpan w:val="2"/>
            <w:shd w:fill="auto" w:val="clear"/>
          </w:tcPr>
          <w:p w:rsidR="00000000" w:rsidDel="00000000" w:rsidP="00000000" w:rsidRDefault="00000000" w:rsidRPr="00000000" w14:paraId="00000007">
            <w:pPr>
              <w:spacing w:after="200" w:line="276" w:lineRule="auto"/>
              <w:rPr>
                <w:rFonts w:ascii="Calibri" w:cs="Calibri" w:eastAsia="Calibri" w:hAnsi="Calibri"/>
                <w:sz w:val="20"/>
                <w:szCs w:val="20"/>
              </w:rPr>
            </w:pPr>
            <w:r w:rsidDel="00000000" w:rsidR="00000000" w:rsidRPr="00000000">
              <w:rPr>
                <w:rtl w:val="0"/>
              </w:rPr>
              <w:t xml:space="preserve">Område 4: Vurdering</w:t>
            </w:r>
            <w:r w:rsidDel="00000000" w:rsidR="00000000" w:rsidRPr="00000000">
              <w:rPr>
                <w:rtl w:val="0"/>
              </w:rPr>
            </w:r>
          </w:p>
        </w:tc>
      </w:tr>
      <w:tr>
        <w:trPr>
          <w:cantSplit w:val="0"/>
          <w:tblHeader w:val="0"/>
        </w:trPr>
        <w:tc>
          <w:tcPr>
            <w:shd w:fill="0aa14a" w:val="clear"/>
          </w:tcPr>
          <w:p w:rsidR="00000000" w:rsidDel="00000000" w:rsidP="00000000" w:rsidRDefault="00000000" w:rsidRPr="00000000" w14:paraId="00000009">
            <w:pPr>
              <w:tabs>
                <w:tab w:val="left" w:leader="none" w:pos="1157"/>
                <w:tab w:val="center" w:leader="none" w:pos="1250"/>
              </w:tabs>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Søgeord(meta tag)</w:t>
            </w:r>
          </w:p>
        </w:tc>
        <w:tc>
          <w:tcPr>
            <w:gridSpan w:val="2"/>
            <w:shd w:fill="auto" w:val="clear"/>
          </w:tcPr>
          <w:p w:rsidR="00000000" w:rsidDel="00000000" w:rsidP="00000000" w:rsidRDefault="00000000" w:rsidRPr="00000000" w14:paraId="0000000A">
            <w:pPr>
              <w:spacing w:after="200" w:line="276" w:lineRule="auto"/>
              <w:rPr/>
            </w:pPr>
            <w:r w:rsidDel="00000000" w:rsidR="00000000" w:rsidRPr="00000000">
              <w:rPr>
                <w:rtl w:val="0"/>
              </w:rPr>
              <w:t xml:space="preserve">Erhvervsuddannelsernes tiltrækningskraft (VET)</w:t>
            </w:r>
          </w:p>
          <w:p w:rsidR="00000000" w:rsidDel="00000000" w:rsidP="00000000" w:rsidRDefault="00000000" w:rsidRPr="00000000" w14:paraId="0000000B">
            <w:pPr>
              <w:spacing w:after="200" w:line="276" w:lineRule="auto"/>
              <w:rPr/>
            </w:pPr>
            <w:r w:rsidDel="00000000" w:rsidR="00000000" w:rsidRPr="00000000">
              <w:rPr>
                <w:rtl w:val="0"/>
              </w:rPr>
              <w:t xml:space="preserve">Uddannelses- og erhvervsuddannelsespolitik </w:t>
            </w:r>
          </w:p>
          <w:p w:rsidR="00000000" w:rsidDel="00000000" w:rsidP="00000000" w:rsidRDefault="00000000" w:rsidRPr="00000000" w14:paraId="0000000C">
            <w:pPr>
              <w:spacing w:after="200" w:line="276" w:lineRule="auto"/>
              <w:rPr/>
            </w:pPr>
            <w:r w:rsidDel="00000000" w:rsidR="00000000" w:rsidRPr="00000000">
              <w:rPr>
                <w:rtl w:val="0"/>
              </w:rPr>
              <w:t xml:space="preserve">Uddannelses- og uddannelsessystem </w:t>
            </w:r>
          </w:p>
          <w:p w:rsidR="00000000" w:rsidDel="00000000" w:rsidP="00000000" w:rsidRDefault="00000000" w:rsidRPr="00000000" w14:paraId="0000000D">
            <w:pPr>
              <w:spacing w:after="200" w:line="276" w:lineRule="auto"/>
              <w:rPr/>
            </w:pPr>
            <w:r w:rsidDel="00000000" w:rsidR="00000000" w:rsidRPr="00000000">
              <w:rPr>
                <w:rtl w:val="0"/>
              </w:rPr>
              <w:t xml:space="preserve">Fremtiden for EUD </w:t>
            </w:r>
          </w:p>
          <w:p w:rsidR="00000000" w:rsidDel="00000000" w:rsidP="00000000" w:rsidRDefault="00000000" w:rsidRPr="00000000" w14:paraId="0000000E">
            <w:pPr>
              <w:spacing w:after="200" w:line="276" w:lineRule="auto"/>
              <w:rPr/>
            </w:pPr>
            <w:r w:rsidDel="00000000" w:rsidR="00000000" w:rsidRPr="00000000">
              <w:rPr>
                <w:rtl w:val="0"/>
              </w:rPr>
              <w:t xml:space="preserve">Reform af uddannelse og erhvervsuddannelse </w:t>
            </w:r>
          </w:p>
          <w:p w:rsidR="00000000" w:rsidDel="00000000" w:rsidP="00000000" w:rsidRDefault="00000000" w:rsidRPr="00000000" w14:paraId="0000000F">
            <w:pPr>
              <w:spacing w:after="200" w:line="276" w:lineRule="auto"/>
              <w:rPr/>
            </w:pPr>
            <w:r w:rsidDel="00000000" w:rsidR="00000000" w:rsidRPr="00000000">
              <w:rPr>
                <w:rtl w:val="0"/>
              </w:rPr>
              <w:t xml:space="preserve">Forskning i uddannelse og træning </w:t>
            </w:r>
          </w:p>
          <w:p w:rsidR="00000000" w:rsidDel="00000000" w:rsidP="00000000" w:rsidRDefault="00000000" w:rsidRPr="00000000" w14:paraId="00000010">
            <w:pPr>
              <w:spacing w:after="200" w:line="276" w:lineRule="auto"/>
              <w:rPr/>
            </w:pPr>
            <w:r w:rsidDel="00000000" w:rsidR="00000000" w:rsidRPr="00000000">
              <w:rPr>
                <w:rtl w:val="0"/>
              </w:rPr>
              <w:t xml:space="preserve">mikro-læringsmoduler  </w:t>
            </w:r>
          </w:p>
          <w:p w:rsidR="00000000" w:rsidDel="00000000" w:rsidP="00000000" w:rsidRDefault="00000000" w:rsidRPr="00000000" w14:paraId="00000011">
            <w:pPr>
              <w:spacing w:after="200"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tabs>
                <w:tab w:val="left" w:leader="none" w:pos="1157"/>
                <w:tab w:val="center" w:leader="none" w:pos="1250"/>
              </w:tabs>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sz w:val="20"/>
                <w:szCs w:val="20"/>
                <w:rtl w:val="0"/>
              </w:rPr>
              <w:t xml:space="preserve">Language</w:t>
            </w:r>
            <w:r w:rsidDel="00000000" w:rsidR="00000000" w:rsidRPr="00000000">
              <w:rPr>
                <w:rtl w:val="0"/>
              </w:rPr>
            </w:r>
          </w:p>
        </w:tc>
        <w:tc>
          <w:tcPr>
            <w:gridSpan w:val="2"/>
            <w:shd w:fill="auto" w:val="clear"/>
          </w:tcPr>
          <w:p w:rsidR="00000000" w:rsidDel="00000000" w:rsidP="00000000" w:rsidRDefault="00000000" w:rsidRPr="00000000" w14:paraId="00000014">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Dansk</w:t>
            </w:r>
          </w:p>
        </w:tc>
      </w:tr>
      <w:tr>
        <w:trPr>
          <w:cantSplit w:val="0"/>
          <w:tblHeader w:val="0"/>
        </w:trPr>
        <w:tc>
          <w:tcPr>
            <w:shd w:fill="0aa14a" w:val="clear"/>
          </w:tcPr>
          <w:p w:rsidR="00000000" w:rsidDel="00000000" w:rsidP="00000000" w:rsidRDefault="00000000" w:rsidRPr="00000000" w14:paraId="00000016">
            <w:pPr>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Resultater/ Mål/Lærings udbytte</w:t>
            </w:r>
          </w:p>
        </w:tc>
        <w:tc>
          <w:tcPr>
            <w:gridSpan w:val="2"/>
            <w:shd w:fill="auto" w:val="clear"/>
          </w:tcPr>
          <w:p w:rsidR="00000000" w:rsidDel="00000000" w:rsidP="00000000" w:rsidRDefault="00000000" w:rsidRPr="00000000" w14:paraId="00000017">
            <w:pPr>
              <w:spacing w:after="200" w:line="276" w:lineRule="auto"/>
              <w:rPr/>
            </w:pPr>
            <w:r w:rsidDel="00000000" w:rsidR="00000000" w:rsidRPr="00000000">
              <w:rPr>
                <w:rtl w:val="0"/>
              </w:rPr>
              <w:t xml:space="preserve">• Forstå, hvad mikro-læringsmoduler er </w:t>
            </w:r>
          </w:p>
          <w:p w:rsidR="00000000" w:rsidDel="00000000" w:rsidP="00000000" w:rsidRDefault="00000000" w:rsidRPr="00000000" w14:paraId="00000018">
            <w:pPr>
              <w:spacing w:after="200" w:line="276" w:lineRule="auto"/>
              <w:rPr/>
            </w:pPr>
            <w:r w:rsidDel="00000000" w:rsidR="00000000" w:rsidRPr="00000000">
              <w:rPr>
                <w:rtl w:val="0"/>
              </w:rPr>
              <w:t xml:space="preserve">• Kend til deres nuværende status </w:t>
            </w:r>
          </w:p>
          <w:p w:rsidR="00000000" w:rsidDel="00000000" w:rsidP="00000000" w:rsidRDefault="00000000" w:rsidRPr="00000000" w14:paraId="00000019">
            <w:pPr>
              <w:spacing w:after="200" w:line="276" w:lineRule="auto"/>
              <w:rPr/>
            </w:pPr>
            <w:r w:rsidDel="00000000" w:rsidR="00000000" w:rsidRPr="00000000">
              <w:rPr>
                <w:rtl w:val="0"/>
              </w:rPr>
              <w:t xml:space="preserve">• Kunne udvikle egne mikro-læringsmoduler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Analyser potentialet for at certificere små læringer</w:t>
            </w:r>
            <w:r w:rsidDel="00000000" w:rsidR="00000000" w:rsidRPr="00000000">
              <w:rPr>
                <w:rtl w:val="0"/>
              </w:rPr>
            </w:r>
          </w:p>
        </w:tc>
      </w:tr>
      <w:tr>
        <w:trPr>
          <w:cantSplit w:val="0"/>
          <w:trHeight w:val="1376" w:hRule="atLeast"/>
          <w:tblHeader w:val="0"/>
        </w:trPr>
        <w:tc>
          <w:tcPr>
            <w:shd w:fill="auto" w:val="clear"/>
          </w:tcPr>
          <w:p w:rsidR="00000000" w:rsidDel="00000000" w:rsidP="00000000" w:rsidRDefault="00000000" w:rsidRPr="00000000" w14:paraId="0000001C">
            <w:pPr>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sz w:val="20"/>
                <w:szCs w:val="20"/>
                <w:rtl w:val="0"/>
              </w:rPr>
              <w:t xml:space="preserve">Beskrivelse</w:t>
            </w:r>
            <w:r w:rsidDel="00000000" w:rsidR="00000000" w:rsidRPr="00000000">
              <w:rPr>
                <w:rtl w:val="0"/>
              </w:rPr>
            </w:r>
          </w:p>
        </w:tc>
        <w:tc>
          <w:tcPr>
            <w:gridSpan w:val="2"/>
            <w:shd w:fill="auto" w:val="clear"/>
          </w:tcPr>
          <w:p w:rsidR="00000000" w:rsidDel="00000000" w:rsidP="00000000" w:rsidRDefault="00000000" w:rsidRPr="00000000" w14:paraId="0000001D">
            <w:pPr>
              <w:widowControl w:val="1"/>
              <w:rPr>
                <w:rFonts w:ascii="Times" w:cs="Times" w:eastAsia="Times" w:hAnsi="Times"/>
                <w:sz w:val="20"/>
                <w:szCs w:val="20"/>
              </w:rPr>
            </w:pPr>
            <w:r w:rsidDel="00000000" w:rsidR="00000000" w:rsidRPr="00000000">
              <w:rPr>
                <w:rFonts w:ascii="Times" w:cs="Times" w:eastAsia="Times" w:hAnsi="Times"/>
                <w:sz w:val="20"/>
                <w:szCs w:val="20"/>
                <w:rtl w:val="0"/>
              </w:rPr>
              <w:t xml:space="preserve">Modulet vil forklare begrebet  og give et overblik over den aktuelle diskussion omkring dem. Det vil vise, hvordan de kan inkluderes i virtuel erhvervsuddannelse og uddannelse, hvilket resulterer i en rettidig, kort opdatering af viden i en akkrediteret form. Endelig opfordrer det eleverne til at analysere de måder, hvorpå de kan tilbyde certificeret videreuddannelse i presserende spørgsmål.</w:t>
            </w:r>
          </w:p>
          <w:p w:rsidR="00000000" w:rsidDel="00000000" w:rsidP="00000000" w:rsidRDefault="00000000" w:rsidRPr="00000000" w14:paraId="0000001E">
            <w:pPr>
              <w:spacing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0aa14a" w:val="clear"/>
          </w:tcPr>
          <w:p w:rsidR="00000000" w:rsidDel="00000000" w:rsidP="00000000" w:rsidRDefault="00000000" w:rsidRPr="00000000" w14:paraId="00000020">
            <w:pPr>
              <w:spacing w:after="200" w:line="276" w:lineRule="auto"/>
              <w:rPr>
                <w:rFonts w:ascii="Cambria" w:cs="Cambria" w:eastAsia="Cambria" w:hAnsi="Cambria"/>
                <w:sz w:val="20"/>
                <w:szCs w:val="20"/>
              </w:rPr>
            </w:pPr>
            <w:r w:rsidDel="00000000" w:rsidR="00000000" w:rsidRPr="00000000">
              <w:rPr>
                <w:rFonts w:ascii="Cambria" w:cs="Cambria" w:eastAsia="Cambria" w:hAnsi="Cambria"/>
                <w:color w:val="ffffff"/>
                <w:sz w:val="20"/>
                <w:szCs w:val="20"/>
                <w:rtl w:val="0"/>
              </w:rPr>
              <w:t xml:space="preserve">Indhold arrangeret på 3 niveauer</w:t>
            </w:r>
            <w:r w:rsidDel="00000000" w:rsidR="00000000" w:rsidRPr="00000000">
              <w:rPr>
                <w:rtl w:val="0"/>
              </w:rPr>
            </w:r>
          </w:p>
        </w:tc>
        <w:tc>
          <w:tcPr>
            <w:gridSpan w:val="2"/>
            <w:shd w:fill="auto" w:val="clear"/>
          </w:tcPr>
          <w:p w:rsidR="00000000" w:rsidDel="00000000" w:rsidP="00000000" w:rsidRDefault="00000000" w:rsidRPr="00000000" w14:paraId="00000021">
            <w:pPr>
              <w:spacing w:line="276" w:lineRule="auto"/>
              <w:rPr/>
            </w:pPr>
            <w:r w:rsidDel="00000000" w:rsidR="00000000" w:rsidRPr="00000000">
              <w:rPr>
                <w:rtl w:val="0"/>
              </w:rPr>
              <w:t xml:space="preserve">1. Introduktion af  </w:t>
            </w:r>
          </w:p>
          <w:p w:rsidR="00000000" w:rsidDel="00000000" w:rsidP="00000000" w:rsidRDefault="00000000" w:rsidRPr="00000000" w14:paraId="00000022">
            <w:pPr>
              <w:spacing w:line="276" w:lineRule="auto"/>
              <w:rPr/>
            </w:pPr>
            <w:r w:rsidDel="00000000" w:rsidR="00000000" w:rsidRPr="00000000">
              <w:rPr>
                <w:rtl w:val="0"/>
              </w:rPr>
              <w:t xml:space="preserve">1.1. Hvad er ? </w:t>
            </w:r>
          </w:p>
          <w:p w:rsidR="00000000" w:rsidDel="00000000" w:rsidP="00000000" w:rsidRDefault="00000000" w:rsidRPr="00000000" w14:paraId="00000023">
            <w:pPr>
              <w:spacing w:line="276" w:lineRule="auto"/>
              <w:rPr/>
            </w:pPr>
            <w:r w:rsidDel="00000000" w:rsidR="00000000" w:rsidRPr="00000000">
              <w:rPr>
                <w:rtl w:val="0"/>
              </w:rPr>
              <w:t xml:space="preserve">1.2 Fordele og udfordringer </w:t>
            </w:r>
          </w:p>
          <w:p w:rsidR="00000000" w:rsidDel="00000000" w:rsidP="00000000" w:rsidRDefault="00000000" w:rsidRPr="00000000" w14:paraId="00000024">
            <w:pPr>
              <w:spacing w:line="276" w:lineRule="auto"/>
              <w:rPr/>
            </w:pPr>
            <w:r w:rsidDel="00000000" w:rsidR="00000000" w:rsidRPr="00000000">
              <w:rPr>
                <w:rtl w:val="0"/>
              </w:rPr>
              <w:t xml:space="preserve">1.3 Udsigter til den videre udvikling</w:t>
            </w:r>
          </w:p>
          <w:p w:rsidR="00000000" w:rsidDel="00000000" w:rsidP="00000000" w:rsidRDefault="00000000" w:rsidRPr="00000000" w14:paraId="00000025">
            <w:pPr>
              <w:spacing w:line="276" w:lineRule="auto"/>
              <w:rPr/>
            </w:pPr>
            <w:r w:rsidDel="00000000" w:rsidR="00000000" w:rsidRPr="00000000">
              <w:rPr>
                <w:rtl w:val="0"/>
              </w:rPr>
              <w:t xml:space="preserve"> 2. mikro-læringsmoduler i virtuel læring </w:t>
            </w:r>
          </w:p>
          <w:p w:rsidR="00000000" w:rsidDel="00000000" w:rsidP="00000000" w:rsidRDefault="00000000" w:rsidRPr="00000000" w14:paraId="00000026">
            <w:pPr>
              <w:spacing w:line="276" w:lineRule="auto"/>
              <w:rPr/>
            </w:pPr>
            <w:r w:rsidDel="00000000" w:rsidR="00000000" w:rsidRPr="00000000">
              <w:rPr>
                <w:rtl w:val="0"/>
              </w:rPr>
              <w:t xml:space="preserve">2.1 Mikro-lærings rolle i virtuelle omstændigheder 2.2 Undervisning og selvstyret læring </w:t>
            </w:r>
          </w:p>
          <w:p w:rsidR="00000000" w:rsidDel="00000000" w:rsidP="00000000" w:rsidRDefault="00000000" w:rsidRPr="00000000" w14:paraId="00000027">
            <w:pPr>
              <w:spacing w:line="276" w:lineRule="auto"/>
              <w:rPr/>
            </w:pPr>
            <w:r w:rsidDel="00000000" w:rsidR="00000000" w:rsidRPr="00000000">
              <w:rPr>
                <w:rtl w:val="0"/>
              </w:rPr>
              <w:t xml:space="preserve">2.3 Praktisk anvendelighed af mikrolæring </w:t>
            </w:r>
          </w:p>
          <w:p w:rsidR="00000000" w:rsidDel="00000000" w:rsidP="00000000" w:rsidRDefault="00000000" w:rsidRPr="00000000" w14:paraId="00000028">
            <w:pPr>
              <w:spacing w:line="276" w:lineRule="auto"/>
              <w:rPr/>
            </w:pPr>
            <w:r w:rsidDel="00000000" w:rsidR="00000000" w:rsidRPr="00000000">
              <w:rPr>
                <w:rtl w:val="0"/>
              </w:rPr>
              <w:t xml:space="preserve">3. Vurdering og certificering af læring </w:t>
            </w:r>
          </w:p>
          <w:p w:rsidR="00000000" w:rsidDel="00000000" w:rsidP="00000000" w:rsidRDefault="00000000" w:rsidRPr="00000000" w14:paraId="00000029">
            <w:pPr>
              <w:spacing w:line="276" w:lineRule="auto"/>
              <w:rPr/>
            </w:pPr>
            <w:r w:rsidDel="00000000" w:rsidR="00000000" w:rsidRPr="00000000">
              <w:rPr>
                <w:rtl w:val="0"/>
              </w:rPr>
              <w:t xml:space="preserve">3.1 Format for  </w:t>
            </w:r>
          </w:p>
          <w:p w:rsidR="00000000" w:rsidDel="00000000" w:rsidP="00000000" w:rsidRDefault="00000000" w:rsidRPr="00000000" w14:paraId="0000002A">
            <w:pPr>
              <w:spacing w:line="276" w:lineRule="auto"/>
              <w:rPr/>
            </w:pPr>
            <w:r w:rsidDel="00000000" w:rsidR="00000000" w:rsidRPr="00000000">
              <w:rPr>
                <w:rtl w:val="0"/>
              </w:rPr>
              <w:t xml:space="preserve">3.2 Udvikling af et kursus i små dele </w:t>
            </w:r>
          </w:p>
          <w:p w:rsidR="00000000" w:rsidDel="00000000" w:rsidP="00000000" w:rsidRDefault="00000000" w:rsidRPr="00000000" w14:paraId="0000002B">
            <w:pPr>
              <w:spacing w:line="276" w:lineRule="auto"/>
              <w:rPr>
                <w:rFonts w:ascii="Calibri" w:cs="Calibri" w:eastAsia="Calibri" w:hAnsi="Calibri"/>
                <w:sz w:val="20"/>
                <w:szCs w:val="20"/>
              </w:rPr>
            </w:pPr>
            <w:r w:rsidDel="00000000" w:rsidR="00000000" w:rsidRPr="00000000">
              <w:rPr>
                <w:rtl w:val="0"/>
              </w:rPr>
              <w:t xml:space="preserve">3.3 Etablering af certificeringer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spacing w:after="200" w:line="276" w:lineRule="auto"/>
              <w:rPr>
                <w:rFonts w:ascii="Cambria" w:cs="Cambria" w:eastAsia="Cambria" w:hAnsi="Cambria"/>
                <w:sz w:val="20"/>
                <w:szCs w:val="20"/>
              </w:rPr>
            </w:pPr>
            <w:r w:rsidDel="00000000" w:rsidR="00000000" w:rsidRPr="00000000">
              <w:rPr>
                <w:rtl w:val="0"/>
              </w:rPr>
              <w:t xml:space="preserve">Selvevaluering (multiple choice forespørgsler og svar)</w:t>
            </w:r>
            <w:r w:rsidDel="00000000" w:rsidR="00000000" w:rsidRPr="00000000">
              <w:rPr>
                <w:rtl w:val="0"/>
              </w:rPr>
            </w:r>
          </w:p>
        </w:tc>
        <w:tc>
          <w:tcPr>
            <w:gridSpan w:val="2"/>
            <w:shd w:fill="auto" w:val="clear"/>
          </w:tcPr>
          <w:p w:rsidR="00000000" w:rsidDel="00000000" w:rsidP="00000000" w:rsidRDefault="00000000" w:rsidRPr="00000000" w14:paraId="0000002E">
            <w:pPr>
              <w:spacing w:after="200" w:line="276" w:lineRule="auto"/>
              <w:rPr/>
            </w:pPr>
            <w:r w:rsidDel="00000000" w:rsidR="00000000" w:rsidRPr="00000000">
              <w:rPr>
                <w:rtl w:val="0"/>
              </w:rPr>
              <w:t xml:space="preserve">Hvad er ? </w:t>
            </w:r>
          </w:p>
          <w:p w:rsidR="00000000" w:rsidDel="00000000" w:rsidP="00000000" w:rsidRDefault="00000000" w:rsidRPr="00000000" w14:paraId="0000002F">
            <w:pPr>
              <w:spacing w:after="200" w:line="276" w:lineRule="auto"/>
              <w:rPr/>
            </w:pPr>
            <w:r w:rsidDel="00000000" w:rsidR="00000000" w:rsidRPr="00000000">
              <w:rPr>
                <w:rtl w:val="0"/>
              </w:rPr>
              <w:t xml:space="preserve">Hvad kan  bruges til? </w:t>
            </w:r>
          </w:p>
          <w:p w:rsidR="00000000" w:rsidDel="00000000" w:rsidP="00000000" w:rsidRDefault="00000000" w:rsidRPr="00000000" w14:paraId="00000030">
            <w:pPr>
              <w:spacing w:after="200" w:line="276" w:lineRule="auto"/>
              <w:rPr/>
            </w:pPr>
            <w:r w:rsidDel="00000000" w:rsidR="00000000" w:rsidRPr="00000000">
              <w:rPr>
                <w:rtl w:val="0"/>
              </w:rPr>
              <w:t xml:space="preserve">Hvordan kan  integreres i virtuel læring? </w:t>
            </w:r>
          </w:p>
          <w:p w:rsidR="00000000" w:rsidDel="00000000" w:rsidP="00000000" w:rsidRDefault="00000000" w:rsidRPr="00000000" w14:paraId="00000031">
            <w:pPr>
              <w:spacing w:after="200" w:line="276" w:lineRule="auto"/>
              <w:rPr>
                <w:rFonts w:ascii="Calibri" w:cs="Calibri" w:eastAsia="Calibri" w:hAnsi="Calibri"/>
                <w:sz w:val="20"/>
                <w:szCs w:val="20"/>
              </w:rPr>
            </w:pPr>
            <w:r w:rsidDel="00000000" w:rsidR="00000000" w:rsidRPr="00000000">
              <w:rPr>
                <w:rtl w:val="0"/>
              </w:rPr>
              <w:t xml:space="preserve">Hvordan kan læring fra mikro-læringsmoduler vurderes?</w:t>
            </w:r>
            <w:r w:rsidDel="00000000" w:rsidR="00000000" w:rsidRPr="00000000">
              <w:rPr>
                <w:rtl w:val="0"/>
              </w:rPr>
            </w:r>
          </w:p>
        </w:tc>
      </w:tr>
      <w:tr>
        <w:trPr>
          <w:cantSplit w:val="0"/>
          <w:trHeight w:val="272" w:hRule="atLeast"/>
          <w:tblHeader w:val="0"/>
        </w:trPr>
        <w:tc>
          <w:tcPr>
            <w:vMerge w:val="restart"/>
            <w:shd w:fill="0aa14a" w:val="clear"/>
          </w:tcPr>
          <w:p w:rsidR="00000000" w:rsidDel="00000000" w:rsidP="00000000" w:rsidRDefault="00000000" w:rsidRPr="00000000" w14:paraId="00000033">
            <w:pPr>
              <w:spacing w:after="200" w:line="276" w:lineRule="auto"/>
              <w:rPr>
                <w:rFonts w:ascii="Cambria" w:cs="Cambria" w:eastAsia="Cambria" w:hAnsi="Cambria"/>
                <w:color w:val="ffffff"/>
                <w:sz w:val="20"/>
                <w:szCs w:val="20"/>
              </w:rPr>
            </w:pPr>
            <w:r w:rsidDel="00000000" w:rsidR="00000000" w:rsidRPr="00000000">
              <w:rPr>
                <w:rtl w:val="0"/>
              </w:rPr>
              <w:t xml:space="preserve">Værktøjssæt (retningslinjer, bedste praksis, tjekliste, erfaringer...)</w:t>
            </w:r>
            <w:r w:rsidDel="00000000" w:rsidR="00000000" w:rsidRPr="00000000">
              <w:rPr>
                <w:rtl w:val="0"/>
              </w:rPr>
            </w:r>
          </w:p>
        </w:tc>
        <w:tc>
          <w:tcPr>
            <w:shd w:fill="auto" w:val="clear"/>
          </w:tcPr>
          <w:p w:rsidR="00000000" w:rsidDel="00000000" w:rsidP="00000000" w:rsidRDefault="00000000" w:rsidRPr="00000000" w14:paraId="00000034">
            <w:pPr>
              <w:tabs>
                <w:tab w:val="left" w:leader="none" w:pos="3516"/>
              </w:tabs>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Navn</w:t>
              <w:tab/>
            </w:r>
          </w:p>
        </w:tc>
        <w:tc>
          <w:tcPr>
            <w:shd w:fill="auto" w:val="clear"/>
          </w:tcPr>
          <w:p w:rsidR="00000000" w:rsidDel="00000000" w:rsidP="00000000" w:rsidRDefault="00000000" w:rsidRPr="00000000" w14:paraId="00000035">
            <w:pPr>
              <w:tabs>
                <w:tab w:val="left" w:leader="none" w:pos="3516"/>
              </w:tabs>
              <w:spacing w:after="200" w:line="276" w:lineRule="auto"/>
              <w:rPr>
                <w:rFonts w:ascii="Calibri" w:cs="Calibri" w:eastAsia="Calibri" w:hAnsi="Calibri"/>
                <w:sz w:val="20"/>
                <w:szCs w:val="20"/>
              </w:rPr>
            </w:pPr>
            <w:r w:rsidDel="00000000" w:rsidR="00000000" w:rsidRPr="00000000">
              <w:rPr>
                <w:rtl w:val="0"/>
              </w:rPr>
              <w:t xml:space="preserve">Tjekliste for </w:t>
            </w:r>
            <w:r w:rsidDel="00000000" w:rsidR="00000000" w:rsidRPr="00000000">
              <w:rPr>
                <w:rtl w:val="0"/>
              </w:rPr>
            </w:r>
          </w:p>
        </w:tc>
      </w:tr>
      <w:tr>
        <w:trPr>
          <w:cantSplit w:val="0"/>
          <w:trHeight w:val="272" w:hRule="atLeast"/>
          <w:tblHeader w:val="0"/>
        </w:trPr>
        <w:tc>
          <w:tcPr>
            <w:vMerge w:val="continue"/>
            <w:shd w:fill="0aa14a"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7">
            <w:pPr>
              <w:tabs>
                <w:tab w:val="left" w:leader="none" w:pos="3516"/>
              </w:tabs>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Beskrivelse</w:t>
            </w:r>
          </w:p>
        </w:tc>
        <w:tc>
          <w:tcPr>
            <w:shd w:fill="auto" w:val="clear"/>
          </w:tcPr>
          <w:p w:rsidR="00000000" w:rsidDel="00000000" w:rsidP="00000000" w:rsidRDefault="00000000" w:rsidRPr="00000000" w14:paraId="00000038">
            <w:pPr>
              <w:tabs>
                <w:tab w:val="left" w:leader="none" w:pos="3516"/>
              </w:tabs>
              <w:spacing w:after="200" w:line="276" w:lineRule="auto"/>
              <w:rPr>
                <w:rFonts w:ascii="Calibri" w:cs="Calibri" w:eastAsia="Calibri" w:hAnsi="Calibri"/>
                <w:sz w:val="20"/>
                <w:szCs w:val="20"/>
              </w:rPr>
            </w:pPr>
            <w:r w:rsidDel="00000000" w:rsidR="00000000" w:rsidRPr="00000000">
              <w:rPr>
                <w:rtl w:val="0"/>
              </w:rPr>
              <w:t xml:space="preserve">Find ud af, om  er noget for dig til at understøtte og udvikle din virtuelle træning.</w:t>
            </w:r>
            <w:r w:rsidDel="00000000" w:rsidR="00000000" w:rsidRPr="00000000">
              <w:rPr>
                <w:rtl w:val="0"/>
              </w:rPr>
            </w:r>
          </w:p>
        </w:tc>
      </w:tr>
      <w:tr>
        <w:trPr>
          <w:cantSplit w:val="0"/>
          <w:trHeight w:val="533" w:hRule="atLeast"/>
          <w:tblHeader w:val="0"/>
        </w:trPr>
        <w:tc>
          <w:tcPr>
            <w:vMerge w:val="continue"/>
            <w:shd w:fill="0aa14a"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A">
            <w:pPr>
              <w:tabs>
                <w:tab w:val="left" w:leader="none" w:pos="3516"/>
              </w:tabs>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Fil navn</w:t>
            </w:r>
          </w:p>
        </w:tc>
        <w:tc>
          <w:tcPr>
            <w:shd w:fill="auto" w:val="clear"/>
          </w:tcPr>
          <w:p w:rsidR="00000000" w:rsidDel="00000000" w:rsidP="00000000" w:rsidRDefault="00000000" w:rsidRPr="00000000" w14:paraId="0000003B">
            <w:pPr>
              <w:tabs>
                <w:tab w:val="left" w:leader="none" w:pos="3516"/>
              </w:tabs>
              <w:spacing w:after="200"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spacing w:after="200" w:line="276" w:lineRule="auto"/>
              <w:rPr>
                <w:rFonts w:ascii="Cambria" w:cs="Cambria" w:eastAsia="Cambria" w:hAnsi="Cambria"/>
                <w:sz w:val="20"/>
                <w:szCs w:val="20"/>
              </w:rPr>
            </w:pPr>
            <w:r w:rsidDel="00000000" w:rsidR="00000000" w:rsidRPr="00000000">
              <w:rPr>
                <w:rtl w:val="0"/>
              </w:rPr>
            </w:r>
          </w:p>
        </w:tc>
        <w:tc>
          <w:tcPr>
            <w:gridSpan w:val="2"/>
            <w:shd w:fill="auto" w:val="clear"/>
          </w:tcPr>
          <w:p w:rsidR="00000000" w:rsidDel="00000000" w:rsidP="00000000" w:rsidRDefault="00000000" w:rsidRPr="00000000" w14:paraId="0000003D">
            <w:pPr>
              <w:spacing w:after="200"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0aa14a" w:val="clear"/>
          </w:tcPr>
          <w:p w:rsidR="00000000" w:rsidDel="00000000" w:rsidP="00000000" w:rsidRDefault="00000000" w:rsidRPr="00000000" w14:paraId="0000003F">
            <w:pPr>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Relateret materiale</w:t>
            </w:r>
          </w:p>
        </w:tc>
        <w:tc>
          <w:tcPr>
            <w:gridSpan w:val="2"/>
            <w:shd w:fill="auto" w:val="clear"/>
          </w:tcPr>
          <w:p w:rsidR="00000000" w:rsidDel="00000000" w:rsidP="00000000" w:rsidRDefault="00000000" w:rsidRPr="00000000" w14:paraId="00000040">
            <w:pPr>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auto" w:val="clear"/>
          </w:tcPr>
          <w:p w:rsidR="00000000" w:rsidDel="00000000" w:rsidP="00000000" w:rsidRDefault="00000000" w:rsidRPr="00000000" w14:paraId="00000043">
            <w:pPr>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Relateret PPT</w:t>
            </w:r>
          </w:p>
        </w:tc>
        <w:tc>
          <w:tcPr>
            <w:gridSpan w:val="2"/>
            <w:shd w:fill="auto" w:val="clear"/>
          </w:tcPr>
          <w:p w:rsidR="00000000" w:rsidDel="00000000" w:rsidP="00000000" w:rsidRDefault="00000000" w:rsidRPr="00000000" w14:paraId="00000044">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Cedefop Konference om  - Materiale</w:t>
            </w:r>
          </w:p>
          <w:p w:rsidR="00000000" w:rsidDel="00000000" w:rsidP="00000000" w:rsidRDefault="00000000" w:rsidRPr="00000000" w14:paraId="00000045">
            <w:pPr>
              <w:spacing w:after="200" w:line="276" w:lineRule="auto"/>
              <w:rPr>
                <w:rFonts w:ascii="Calibri" w:cs="Calibri" w:eastAsia="Calibri" w:hAnsi="Calibri"/>
                <w:sz w:val="20"/>
                <w:szCs w:val="20"/>
              </w:rPr>
            </w:pPr>
            <w:hyperlink r:id="rId8">
              <w:r w:rsidDel="00000000" w:rsidR="00000000" w:rsidRPr="00000000">
                <w:rPr>
                  <w:rFonts w:ascii="Calibri" w:cs="Calibri" w:eastAsia="Calibri" w:hAnsi="Calibri"/>
                  <w:color w:val="0563c1"/>
                  <w:sz w:val="20"/>
                  <w:szCs w:val="20"/>
                  <w:u w:val="single"/>
                  <w:rtl w:val="0"/>
                </w:rPr>
                <w:t xml:space="preserve">https://www.cedefop.europa.eu/en/events/conference-microcredentials#group-downloads</w:t>
              </w:r>
            </w:hyperlink>
            <w:r w:rsidDel="00000000" w:rsidR="00000000" w:rsidRPr="00000000">
              <w:rPr>
                <w:rFonts w:ascii="Calibri" w:cs="Calibri" w:eastAsia="Calibri" w:hAnsi="Calibri"/>
                <w:sz w:val="20"/>
                <w:szCs w:val="20"/>
                <w:rtl w:val="0"/>
              </w:rPr>
              <w:t xml:space="preserve"> </w:t>
            </w:r>
          </w:p>
        </w:tc>
      </w:tr>
      <w:tr>
        <w:trPr>
          <w:cantSplit w:val="0"/>
          <w:tblHeader w:val="0"/>
        </w:trPr>
        <w:tc>
          <w:tcPr>
            <w:shd w:fill="0aa14a" w:val="clear"/>
          </w:tcPr>
          <w:p w:rsidR="00000000" w:rsidDel="00000000" w:rsidP="00000000" w:rsidRDefault="00000000" w:rsidRPr="00000000" w14:paraId="00000047">
            <w:pPr>
              <w:spacing w:after="200" w:line="276" w:lineRule="auto"/>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Bibliografi </w:t>
            </w:r>
          </w:p>
        </w:tc>
        <w:tc>
          <w:tcPr>
            <w:gridSpan w:val="2"/>
            <w:shd w:fill="auto" w:val="clear"/>
          </w:tcPr>
          <w:p w:rsidR="00000000" w:rsidDel="00000000" w:rsidP="00000000" w:rsidRDefault="00000000" w:rsidRPr="00000000" w14:paraId="00000048">
            <w:pPr>
              <w:spacing w:after="200" w:line="276" w:lineRule="auto"/>
              <w:rPr/>
            </w:pPr>
            <w:r w:rsidDel="00000000" w:rsidR="00000000" w:rsidRPr="00000000">
              <w:rPr>
                <w:rtl w:val="0"/>
              </w:rPr>
              <w:t xml:space="preserve">Bjornavoldand, Jenad &amp; Pouliou, Anastasia, Experts DVQ, Cedefop, "Microcredentials -en ny mulighed for livslang læring? Indledende resultater fra Cedefop-projektet om mikro-læring for erhvervsuddannelse og arbejdsmarkedslæring“.</w:t>
            </w:r>
          </w:p>
          <w:p w:rsidR="00000000" w:rsidDel="00000000" w:rsidP="00000000" w:rsidRDefault="00000000" w:rsidRPr="00000000" w14:paraId="00000049">
            <w:pPr>
              <w:spacing w:after="200" w:line="276" w:lineRule="auto"/>
              <w:rPr/>
            </w:pPr>
            <w:r w:rsidDel="00000000" w:rsidR="00000000" w:rsidRPr="00000000">
              <w:rPr>
                <w:rtl w:val="0"/>
              </w:rPr>
              <w:t xml:space="preserve"> CEDEFOP-konference om , 25.11.2021. EU-kommissionen, en europæisk tilgang til . Output fra høringsgruppen for videregående uddannelser for mikrobeviser, december 2020. Eurochambers, "Tag de europæiske handelskamre og industri på en mikro-legitimationsramme. Politikbudskaber og eksempler”. </w:t>
            </w:r>
          </w:p>
          <w:p w:rsidR="00000000" w:rsidDel="00000000" w:rsidP="00000000" w:rsidRDefault="00000000" w:rsidRPr="00000000" w14:paraId="0000004A">
            <w:pPr>
              <w:spacing w:after="200" w:line="276" w:lineRule="auto"/>
              <w:rPr/>
            </w:pPr>
            <w:r w:rsidDel="00000000" w:rsidR="00000000" w:rsidRPr="00000000">
              <w:rPr>
                <w:rtl w:val="0"/>
              </w:rPr>
              <w:t xml:space="preserve">CEDEFOP-konference om , 26.11.2021. Europa-Kommissionen. Forslag til Rådets henstilling om en europæisk tilgang til mikrobeviser for livslang læring og beskæftigelsesegnethed. KOM/2021/770 endelig. Europa-Kommissionen, Bruxelles, november 2021. </w:t>
            </w:r>
          </w:p>
          <w:p w:rsidR="00000000" w:rsidDel="00000000" w:rsidP="00000000" w:rsidRDefault="00000000" w:rsidRPr="00000000" w14:paraId="0000004B">
            <w:pPr>
              <w:spacing w:after="200" w:line="276" w:lineRule="auto"/>
              <w:rPr/>
            </w:pPr>
            <w:r w:rsidDel="00000000" w:rsidR="00000000" w:rsidRPr="00000000">
              <w:rPr>
                <w:rtl w:val="0"/>
              </w:rPr>
              <w:t xml:space="preserve">HK Stat, “MICRO-CREDENTIALS - I A DANSK PERSPEKTIVE”, CedefopConference on Micro-credentials, 26. november 2021. Husted, Bodil, VIA UC, DK, "Mikro-læringsmodulrollen i EU's arbejdsmarkedsrelateret uddannelse". Cedefop Conference, Microcredentials for work market education and training, Cedefop Conference on Micro-credentials, 25. november 2021. McCoshan, Dr. Andrew, medlem af PPMI Project Team, "Microcredentials for work market education and training". </w:t>
            </w:r>
          </w:p>
          <w:p w:rsidR="00000000" w:rsidDel="00000000" w:rsidP="00000000" w:rsidRDefault="00000000" w:rsidRPr="00000000" w14:paraId="0000004C">
            <w:pPr>
              <w:spacing w:after="200" w:line="276" w:lineRule="auto"/>
              <w:rPr>
                <w:rFonts w:ascii="Calibri" w:cs="Calibri" w:eastAsia="Calibri" w:hAnsi="Calibri"/>
                <w:sz w:val="20"/>
                <w:szCs w:val="20"/>
              </w:rPr>
            </w:pPr>
            <w:r w:rsidDel="00000000" w:rsidR="00000000" w:rsidRPr="00000000">
              <w:rPr>
                <w:rtl w:val="0"/>
              </w:rPr>
              <w:t xml:space="preserve">Parallel session 2: Interaktion mellem  med eksisterende kvalifikations- og certificeringssystemer. Cedefop-konference 25.-26. november 2021. Reddy, Julie/SAQA, "Er der plads til  i SA NQF?", Cedefopkonference om , 26. november 2021.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E">
            <w:pPr>
              <w:spacing w:after="20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Leveret af </w:t>
            </w:r>
          </w:p>
        </w:tc>
        <w:tc>
          <w:tcPr>
            <w:gridSpan w:val="2"/>
            <w:shd w:fill="auto" w:val="clear"/>
          </w:tcPr>
          <w:p w:rsidR="00000000" w:rsidDel="00000000" w:rsidP="00000000" w:rsidRDefault="00000000" w:rsidRPr="00000000" w14:paraId="0000004F">
            <w:pPr>
              <w:spacing w:after="200" w:line="276" w:lineRule="auto"/>
              <w:rPr>
                <w:rFonts w:ascii="Calibri" w:cs="Calibri" w:eastAsia="Calibri" w:hAnsi="Calibri"/>
                <w:sz w:val="20"/>
                <w:szCs w:val="20"/>
              </w:rPr>
            </w:pPr>
            <w:r w:rsidDel="00000000" w:rsidR="00000000" w:rsidRPr="00000000">
              <w:rPr>
                <w:rtl w:val="0"/>
              </w:rPr>
              <w:t xml:space="preserve">CEDEFOB:  til arbejdsmarkedsuddannelse | CEDEFOP (europa.eu) IHK-Projektgesellschaft mbH</w:t>
            </w: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50" w:w="11900" w:orient="portrait"/>
      <w:pgMar w:bottom="284" w:top="2268" w:left="1077" w:right="1077"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Time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754320</wp:posOffset>
          </wp:positionH>
          <wp:positionV relativeFrom="paragraph">
            <wp:posOffset>0</wp:posOffset>
          </wp:positionV>
          <wp:extent cx="95303" cy="95250"/>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3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967726</wp:posOffset>
          </wp:positionH>
          <wp:positionV relativeFrom="paragraph">
            <wp:posOffset>0</wp:posOffset>
          </wp:positionV>
          <wp:extent cx="95203" cy="95250"/>
          <wp:effectExtent b="0" l="0" r="0" t="0"/>
          <wp:wrapNone/>
          <wp:docPr id="1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1173433</wp:posOffset>
          </wp:positionH>
          <wp:positionV relativeFrom="paragraph">
            <wp:posOffset>0</wp:posOffset>
          </wp:positionV>
          <wp:extent cx="95303" cy="95250"/>
          <wp:effectExtent b="0" l="0" r="0" t="0"/>
          <wp:wrapNone/>
          <wp:docPr id="16"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53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1386840</wp:posOffset>
          </wp:positionH>
          <wp:positionV relativeFrom="paragraph">
            <wp:posOffset>0</wp:posOffset>
          </wp:positionV>
          <wp:extent cx="95203" cy="95250"/>
          <wp:effectExtent b="0" l="0" r="0" t="0"/>
          <wp:wrapNone/>
          <wp:docPr id="1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1600246</wp:posOffset>
          </wp:positionH>
          <wp:positionV relativeFrom="paragraph">
            <wp:posOffset>0</wp:posOffset>
          </wp:positionV>
          <wp:extent cx="95203" cy="95250"/>
          <wp:effectExtent b="0" l="0" r="0" t="0"/>
          <wp:wrapNone/>
          <wp:docPr id="18"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5203" cy="95250"/>
          <wp:effectExtent b="0" l="0" r="0" t="0"/>
          <wp:wrapNone/>
          <wp:docPr id="19"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327606</wp:posOffset>
          </wp:positionH>
          <wp:positionV relativeFrom="paragraph">
            <wp:posOffset>0</wp:posOffset>
          </wp:positionV>
          <wp:extent cx="95303" cy="95250"/>
          <wp:effectExtent b="0" l="0" r="0" t="0"/>
          <wp:wrapNone/>
          <wp:docPr id="20"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953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533413</wp:posOffset>
          </wp:positionH>
          <wp:positionV relativeFrom="paragraph">
            <wp:posOffset>0</wp:posOffset>
          </wp:positionV>
          <wp:extent cx="95203" cy="95250"/>
          <wp:effectExtent b="0" l="0" r="0" t="0"/>
          <wp:wrapNone/>
          <wp:docPr id="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5203" cy="9525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1917700</wp:posOffset>
              </wp:positionH>
              <wp:positionV relativeFrom="paragraph">
                <wp:posOffset>38100</wp:posOffset>
              </wp:positionV>
              <wp:extent cx="4273550" cy="12700"/>
              <wp:effectExtent b="0" l="0" r="0" t="0"/>
              <wp:wrapTopAndBottom distB="0" distT="0"/>
              <wp:docPr id="1" name=""/>
              <a:graphic>
                <a:graphicData uri="http://schemas.microsoft.com/office/word/2010/wordprocessingShape">
                  <wps:wsp>
                    <wps:cNvSpPr/>
                    <wps:cNvPr id="2" name="Shape 2"/>
                    <wps:spPr>
                      <a:xfrm>
                        <a:off x="3893121" y="3779365"/>
                        <a:ext cx="4273550" cy="1270"/>
                      </a:xfrm>
                      <a:custGeom>
                        <a:rect b="b" l="l" r="r" t="t"/>
                        <a:pathLst>
                          <a:path extrusionOk="0" h="1270" w="4273550">
                            <a:moveTo>
                              <a:pt x="0" y="0"/>
                            </a:moveTo>
                            <a:lnTo>
                              <a:pt x="427355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38100</wp:posOffset>
              </wp:positionV>
              <wp:extent cx="4273550" cy="12700"/>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273550" cy="12700"/>
                      </a:xfrm>
                      <a:prstGeom prst="rect"/>
                      <a:ln/>
                    </pic:spPr>
                  </pic:pic>
                </a:graphicData>
              </a:graphic>
            </wp:anchor>
          </w:drawing>
        </mc:Fallback>
      </mc:AlternateConten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2852" w:right="113" w:firstLine="0"/>
      <w:jc w:val="both"/>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72390</wp:posOffset>
          </wp:positionH>
          <wp:positionV relativeFrom="paragraph">
            <wp:posOffset>64770</wp:posOffset>
          </wp:positionV>
          <wp:extent cx="1636395" cy="342265"/>
          <wp:effectExtent b="0" l="0" r="0" t="0"/>
          <wp:wrapNone/>
          <wp:docPr id="3"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636395" cy="342265"/>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project-reset.eu</w:t>
    </w:r>
    <w:r w:rsidDel="00000000" w:rsidR="00000000" w:rsidRPr="00000000">
      <w:drawing>
        <wp:anchor allowOverlap="1" behindDoc="1" distB="0" distT="0" distL="0" distR="0" hidden="0" layoutInCell="1" locked="0" relativeHeight="0" simplePos="0">
          <wp:simplePos x="0" y="0"/>
          <wp:positionH relativeFrom="column">
            <wp:posOffset>4923301</wp:posOffset>
          </wp:positionH>
          <wp:positionV relativeFrom="paragraph">
            <wp:posOffset>1710</wp:posOffset>
          </wp:positionV>
          <wp:extent cx="1252855" cy="815340"/>
          <wp:effectExtent b="0" l="0" r="0" t="0"/>
          <wp:wrapNone/>
          <wp:docPr id="4"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1252855" cy="815340"/>
                  </a:xfrm>
                  <a:prstGeom prst="rect"/>
                  <a:ln/>
                </pic:spPr>
              </pic:pic>
            </a:graphicData>
          </a:graphic>
        </wp:anchor>
      </w:drawing>
    </w:r>
  </w:p>
  <w:p w:rsidR="00000000" w:rsidDel="00000000" w:rsidP="00000000" w:rsidRDefault="00000000" w:rsidRPr="00000000" w14:paraId="00000055">
    <w:pPr>
      <w:pStyle w:val="Title"/>
      <w:ind w:firstLine="4861"/>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533413</wp:posOffset>
          </wp:positionH>
          <wp:positionV relativeFrom="paragraph">
            <wp:posOffset>0</wp:posOffset>
          </wp:positionV>
          <wp:extent cx="95203" cy="95250"/>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754320</wp:posOffset>
          </wp:positionH>
          <wp:positionV relativeFrom="paragraph">
            <wp:posOffset>0</wp:posOffset>
          </wp:positionV>
          <wp:extent cx="95303" cy="95250"/>
          <wp:effectExtent b="0" l="0" r="0" t="0"/>
          <wp:wrapNone/>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53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967726</wp:posOffset>
          </wp:positionH>
          <wp:positionV relativeFrom="paragraph">
            <wp:posOffset>0</wp:posOffset>
          </wp:positionV>
          <wp:extent cx="95203" cy="95250"/>
          <wp:effectExtent b="0" l="0" r="0" t="0"/>
          <wp:wrapNone/>
          <wp:docPr id="8"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1173433</wp:posOffset>
          </wp:positionH>
          <wp:positionV relativeFrom="paragraph">
            <wp:posOffset>0</wp:posOffset>
          </wp:positionV>
          <wp:extent cx="95303" cy="95250"/>
          <wp:effectExtent b="0" l="0" r="0" t="0"/>
          <wp:wrapNone/>
          <wp:docPr id="7"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953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1386840</wp:posOffset>
          </wp:positionH>
          <wp:positionV relativeFrom="paragraph">
            <wp:posOffset>0</wp:posOffset>
          </wp:positionV>
          <wp:extent cx="95203" cy="95250"/>
          <wp:effectExtent b="0" l="0" r="0" t="0"/>
          <wp:wrapNone/>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1600246</wp:posOffset>
          </wp:positionH>
          <wp:positionV relativeFrom="paragraph">
            <wp:posOffset>0</wp:posOffset>
          </wp:positionV>
          <wp:extent cx="95203" cy="95250"/>
          <wp:effectExtent b="0" l="0" r="0" t="0"/>
          <wp:wrapNone/>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5203" cy="95250"/>
          <wp:effectExtent b="0" l="0" r="0" t="0"/>
          <wp:wrapNone/>
          <wp:docPr id="1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95203" cy="95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327606</wp:posOffset>
          </wp:positionH>
          <wp:positionV relativeFrom="paragraph">
            <wp:posOffset>0</wp:posOffset>
          </wp:positionV>
          <wp:extent cx="95303" cy="95250"/>
          <wp:effectExtent b="0" l="0" r="0" t="0"/>
          <wp:wrapNone/>
          <wp:docPr id="11"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95303"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4861"/>
    </w:pPr>
    <w:rPr>
      <w:rFonts w:ascii="Times New Roman" w:cs="Times New Roman" w:eastAsia="Times New Roman" w:hAnsi="Times New Roman"/>
      <w:sz w:val="15"/>
      <w:szCs w:val="1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png"/><Relationship Id="rId8" Type="http://schemas.openxmlformats.org/officeDocument/2006/relationships/hyperlink" Target="https://www.cedefop.europa.eu/en/events/conference-microcredentials#group-download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9.png"/><Relationship Id="rId5" Type="http://schemas.openxmlformats.org/officeDocument/2006/relationships/image" Target="media/image7.png"/><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CuoY77iKipclFVno3BGTRPqnTw==">CgMxLjA4AHIhMVNYZDJFYUZ5YjBEVktJYW13Vjhfd0ZNSFkzUV95a1Vl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